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308.5714285714286" w:lineRule="auto"/>
        <w:jc w:val="center"/>
        <w:rPr>
          <w:rFonts w:ascii="Cambria" w:cs="Cambria" w:eastAsia="Cambria" w:hAnsi="Cambria"/>
          <w:b w:val="1"/>
          <w:color w:val="1f1f1f"/>
          <w:sz w:val="28"/>
          <w:szCs w:val="28"/>
          <w:shd w:fill="f8f9fa" w:val="clear"/>
        </w:rPr>
      </w:pPr>
      <w:r w:rsidDel="00000000" w:rsidR="00000000" w:rsidRPr="00000000">
        <w:rPr>
          <w:rFonts w:ascii="Cambria" w:cs="Cambria" w:eastAsia="Cambria" w:hAnsi="Cambria"/>
          <w:b w:val="1"/>
          <w:color w:val="1f1f1f"/>
          <w:sz w:val="28"/>
          <w:szCs w:val="28"/>
          <w:shd w:fill="f8f9fa" w:val="clear"/>
          <w:rtl w:val="0"/>
        </w:rPr>
        <w:t xml:space="preserve">BUILDING UNIVERSAL VALUES IN THE ERA OF GLOBALIZATION IN CHALLENGES AND OPPORTUNITIES FOR EDUCATION</w:t>
      </w:r>
    </w:p>
    <w:p w:rsidR="00000000" w:rsidDel="00000000" w:rsidP="00000000" w:rsidRDefault="00000000" w:rsidRPr="00000000" w14:paraId="00000002">
      <w:pPr>
        <w:spacing w:after="0" w:line="240" w:lineRule="auto"/>
        <w:jc w:val="left"/>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03">
      <w:pPr>
        <w:spacing w:after="0" w:line="240" w:lineRule="auto"/>
        <w:jc w:val="center"/>
        <w:rPr>
          <w:rFonts w:ascii="Cambria" w:cs="Cambria" w:eastAsia="Cambria" w:hAnsi="Cambria"/>
          <w:b w:val="1"/>
          <w:color w:val="000000"/>
          <w:sz w:val="20"/>
          <w:szCs w:val="20"/>
        </w:rPr>
      </w:pPr>
      <w:r w:rsidDel="00000000" w:rsidR="00000000" w:rsidRPr="00000000">
        <w:rPr>
          <w:rFonts w:ascii="Cambria" w:cs="Cambria" w:eastAsia="Cambria" w:hAnsi="Cambria"/>
          <w:b w:val="1"/>
          <w:sz w:val="20"/>
          <w:szCs w:val="20"/>
          <w:rtl w:val="0"/>
        </w:rPr>
        <w:t xml:space="preserve">Athiya Sandrina Gunawan</w:t>
      </w:r>
      <w:r w:rsidDel="00000000" w:rsidR="00000000" w:rsidRPr="00000000">
        <w:rPr>
          <w:rFonts w:ascii="Cambria" w:cs="Cambria" w:eastAsia="Cambria" w:hAnsi="Cambria"/>
          <w:b w:val="1"/>
          <w:sz w:val="20"/>
          <w:szCs w:val="20"/>
          <w:vertAlign w:val="superscript"/>
          <w:rtl w:val="0"/>
        </w:rPr>
        <w:t xml:space="preserve">1</w:t>
      </w:r>
      <w:r w:rsidDel="00000000" w:rsidR="00000000" w:rsidRPr="00000000">
        <w:rPr>
          <w:rFonts w:ascii="Cambria" w:cs="Cambria" w:eastAsia="Cambria" w:hAnsi="Cambria"/>
          <w:b w:val="1"/>
          <w:sz w:val="20"/>
          <w:szCs w:val="20"/>
          <w:rtl w:val="0"/>
        </w:rPr>
        <w:t xml:space="preserve">, Ghefira Maharani</w:t>
      </w:r>
      <w:r w:rsidDel="00000000" w:rsidR="00000000" w:rsidRPr="00000000">
        <w:rPr>
          <w:rFonts w:ascii="Cambria" w:cs="Cambria" w:eastAsia="Cambria" w:hAnsi="Cambria"/>
          <w:b w:val="1"/>
          <w:sz w:val="20"/>
          <w:szCs w:val="20"/>
          <w:vertAlign w:val="superscript"/>
          <w:rtl w:val="0"/>
        </w:rPr>
        <w:t xml:space="preserve">2</w:t>
      </w:r>
      <w:r w:rsidDel="00000000" w:rsidR="00000000" w:rsidRPr="00000000">
        <w:rPr>
          <w:rFonts w:ascii="Cambria" w:cs="Cambria" w:eastAsia="Cambria" w:hAnsi="Cambria"/>
          <w:b w:val="1"/>
          <w:sz w:val="20"/>
          <w:szCs w:val="20"/>
          <w:rtl w:val="0"/>
        </w:rPr>
        <w:t xml:space="preserve">,Sabrina Fadya Salsabila</w:t>
      </w:r>
      <w:r w:rsidDel="00000000" w:rsidR="00000000" w:rsidRPr="00000000">
        <w:rPr>
          <w:rFonts w:ascii="Cambria" w:cs="Cambria" w:eastAsia="Cambria" w:hAnsi="Cambria"/>
          <w:b w:val="1"/>
          <w:sz w:val="20"/>
          <w:szCs w:val="20"/>
          <w:vertAlign w:val="superscript"/>
          <w:rtl w:val="0"/>
        </w:rPr>
        <w:t xml:space="preserve">3</w:t>
      </w:r>
      <w:r w:rsidDel="00000000" w:rsidR="00000000" w:rsidRPr="00000000">
        <w:rPr>
          <w:rFonts w:ascii="Cambria" w:cs="Cambria" w:eastAsia="Cambria" w:hAnsi="Cambria"/>
          <w:b w:val="1"/>
          <w:sz w:val="20"/>
          <w:szCs w:val="20"/>
          <w:rtl w:val="0"/>
        </w:rPr>
        <w:t xml:space="preserve">, Bunga Amelia Tiris</w:t>
      </w:r>
      <w:r w:rsidDel="00000000" w:rsidR="00000000" w:rsidRPr="00000000">
        <w:rPr>
          <w:rFonts w:ascii="Cambria" w:cs="Cambria" w:eastAsia="Cambria" w:hAnsi="Cambria"/>
          <w:b w:val="1"/>
          <w:sz w:val="20"/>
          <w:szCs w:val="20"/>
          <w:vertAlign w:val="superscript"/>
          <w:rtl w:val="0"/>
        </w:rPr>
        <w:t xml:space="preserve">4</w:t>
      </w:r>
      <w:r w:rsidDel="00000000" w:rsidR="00000000" w:rsidRPr="00000000">
        <w:rPr>
          <w:rtl w:val="0"/>
        </w:rPr>
      </w:r>
    </w:p>
    <w:p w:rsidR="00000000" w:rsidDel="00000000" w:rsidP="00000000" w:rsidRDefault="00000000" w:rsidRPr="00000000" w14:paraId="00000004">
      <w:pPr>
        <w:spacing w:after="0" w:line="240" w:lineRule="auto"/>
        <w:jc w:val="center"/>
        <w:rPr>
          <w:rFonts w:ascii="Cambria" w:cs="Cambria" w:eastAsia="Cambria" w:hAnsi="Cambria"/>
          <w:color w:val="000000"/>
          <w:sz w:val="18"/>
          <w:szCs w:val="18"/>
        </w:rPr>
      </w:pPr>
      <w:r w:rsidDel="00000000" w:rsidR="00000000" w:rsidRPr="00000000">
        <w:rPr>
          <w:rtl w:val="0"/>
        </w:rPr>
      </w:r>
    </w:p>
    <w:p w:rsidR="00000000" w:rsidDel="00000000" w:rsidP="00000000" w:rsidRDefault="00000000" w:rsidRPr="00000000" w14:paraId="00000005">
      <w:pPr>
        <w:spacing w:after="0" w:line="240" w:lineRule="auto"/>
        <w:jc w:val="center"/>
        <w:rPr>
          <w:rFonts w:ascii="Cambria" w:cs="Cambria" w:eastAsia="Cambria" w:hAnsi="Cambria"/>
          <w:color w:val="000000"/>
          <w:sz w:val="20"/>
          <w:szCs w:val="20"/>
        </w:rPr>
      </w:pPr>
      <w:r w:rsidDel="00000000" w:rsidR="00000000" w:rsidRPr="00000000">
        <w:rPr>
          <w:rFonts w:ascii="Cambria" w:cs="Cambria" w:eastAsia="Cambria" w:hAnsi="Cambria"/>
          <w:sz w:val="20"/>
          <w:szCs w:val="20"/>
          <w:vertAlign w:val="superscript"/>
          <w:rtl w:val="0"/>
        </w:rPr>
        <w:t xml:space="preserve">1,2,3,4</w:t>
      </w:r>
      <w:r w:rsidDel="00000000" w:rsidR="00000000" w:rsidRPr="00000000">
        <w:rPr>
          <w:rFonts w:ascii="Cambria" w:cs="Cambria" w:eastAsia="Cambria" w:hAnsi="Cambria"/>
          <w:sz w:val="20"/>
          <w:szCs w:val="20"/>
          <w:rtl w:val="0"/>
        </w:rPr>
        <w:t xml:space="preserve">Fakultas Keguruan Dan Ilmu Pendidikan, Universitas Lampung, Indonesia</w:t>
      </w:r>
      <w:r w:rsidDel="00000000" w:rsidR="00000000" w:rsidRPr="00000000">
        <w:rPr>
          <w:rtl w:val="0"/>
        </w:rPr>
      </w:r>
    </w:p>
    <w:p w:rsidR="00000000" w:rsidDel="00000000" w:rsidP="00000000" w:rsidRDefault="00000000" w:rsidRPr="00000000" w14:paraId="00000006">
      <w:pPr>
        <w:spacing w:after="0" w:line="240" w:lineRule="auto"/>
        <w:jc w:val="center"/>
        <w:rPr>
          <w:rFonts w:ascii="Cambria" w:cs="Cambria" w:eastAsia="Cambria" w:hAnsi="Cambria"/>
          <w:color w:val="000000"/>
          <w:sz w:val="20"/>
          <w:szCs w:val="20"/>
        </w:rPr>
      </w:pPr>
      <w:r w:rsidDel="00000000" w:rsidR="00000000" w:rsidRPr="00000000">
        <w:rPr>
          <w:rtl w:val="0"/>
        </w:rPr>
      </w:r>
    </w:p>
    <w:p w:rsidR="00000000" w:rsidDel="00000000" w:rsidP="00000000" w:rsidRDefault="00000000" w:rsidRPr="00000000" w14:paraId="00000007">
      <w:pPr>
        <w:spacing w:after="0" w:line="240" w:lineRule="auto"/>
        <w:jc w:val="center"/>
        <w:rPr>
          <w:rFonts w:ascii="Cambria" w:cs="Cambria" w:eastAsia="Cambria" w:hAnsi="Cambria"/>
          <w:i w:val="1"/>
          <w:sz w:val="20"/>
          <w:szCs w:val="20"/>
        </w:rPr>
      </w:pPr>
      <w:r w:rsidDel="00000000" w:rsidR="00000000" w:rsidRPr="00000000">
        <w:rPr>
          <w:rFonts w:ascii="Cambria" w:cs="Cambria" w:eastAsia="Cambria" w:hAnsi="Cambria"/>
          <w:i w:val="1"/>
          <w:sz w:val="20"/>
          <w:szCs w:val="20"/>
          <w:rtl w:val="0"/>
        </w:rPr>
        <w:t xml:space="preserve">Athiya_sandrina@gmail.com</w:t>
      </w:r>
    </w:p>
    <w:p w:rsidR="00000000" w:rsidDel="00000000" w:rsidP="00000000" w:rsidRDefault="00000000" w:rsidRPr="00000000" w14:paraId="00000008">
      <w:pPr>
        <w:spacing w:after="0" w:line="240" w:lineRule="auto"/>
        <w:jc w:val="left"/>
        <w:rPr>
          <w:rFonts w:ascii="Cambria" w:cs="Cambria" w:eastAsia="Cambria" w:hAnsi="Cambria"/>
          <w:sz w:val="20"/>
          <w:szCs w:val="20"/>
        </w:rPr>
      </w:pPr>
      <w:r w:rsidDel="00000000" w:rsidR="00000000" w:rsidRPr="00000000">
        <w:rPr>
          <w:rtl w:val="0"/>
        </w:rPr>
      </w:r>
    </w:p>
    <w:tbl>
      <w:tblPr>
        <w:tblStyle w:val="Table1"/>
        <w:tblW w:w="9645.0" w:type="dxa"/>
        <w:jc w:val="left"/>
        <w:tblInd w:w="-1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45"/>
        <w:tblGridChange w:id="0">
          <w:tblGrid>
            <w:gridCol w:w="9645"/>
          </w:tblGrid>
        </w:tblGridChange>
      </w:tblGrid>
      <w:tr>
        <w:trPr>
          <w:cantSplit w:val="0"/>
          <w:tblHeader w:val="0"/>
        </w:trPr>
        <w:tc>
          <w:tcPr>
            <w:tcBorders>
              <w:top w:color="000000" w:space="0" w:sz="12" w:val="single"/>
            </w:tcBorders>
          </w:tcPr>
          <w:p w:rsidR="00000000" w:rsidDel="00000000" w:rsidP="00000000" w:rsidRDefault="00000000" w:rsidRPr="00000000" w14:paraId="00000009">
            <w:pPr>
              <w:jc w:val="center"/>
              <w:rPr>
                <w:rFonts w:ascii="Cambria" w:cs="Cambria" w:eastAsia="Cambria" w:hAnsi="Cambria"/>
                <w:i w:val="1"/>
                <w:sz w:val="18"/>
                <w:szCs w:val="18"/>
              </w:rPr>
            </w:pPr>
            <w:r w:rsidDel="00000000" w:rsidR="00000000" w:rsidRPr="00000000">
              <w:rPr>
                <w:rFonts w:ascii="Cambria" w:cs="Cambria" w:eastAsia="Cambria" w:hAnsi="Cambria"/>
                <w:b w:val="1"/>
                <w:i w:val="1"/>
                <w:sz w:val="18"/>
                <w:szCs w:val="18"/>
                <w:rtl w:val="0"/>
              </w:rPr>
              <w:t xml:space="preserve">ABSTRACT</w:t>
            </w:r>
            <w:r w:rsidDel="00000000" w:rsidR="00000000" w:rsidRPr="00000000">
              <w:rPr>
                <w:rtl w:val="0"/>
              </w:rPr>
            </w:r>
          </w:p>
        </w:tc>
      </w:tr>
      <w:tr>
        <w:trPr>
          <w:cantSplit w:val="0"/>
          <w:tblHeader w:val="0"/>
        </w:trPr>
        <w:tc>
          <w:tcPr>
            <w:tcBorders>
              <w:bottom w:color="000000" w:space="0" w:sz="12" w:val="single"/>
            </w:tcBorders>
          </w:tcPr>
          <w:p w:rsidR="00000000" w:rsidDel="00000000" w:rsidP="00000000" w:rsidRDefault="00000000" w:rsidRPr="00000000" w14:paraId="0000000A">
            <w:pPr>
              <w:spacing w:after="100" w:before="240" w:lineRule="auto"/>
              <w:jc w:val="both"/>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From an educational point of view, this article checks how globalization has affected the education system, challenges and opportunities. Many aspects of human existence have been influenced by globalization, including the education system. Through fast information exchange and technical progress, globalization has made the world more connected. Globalization has created new opportunities and difficulties for education. The influence of globalization of the education system. One result is a requirement to create a more inclusive and relevant curriculum with the overall world. To equip students to become a capable global citizen, the education system must adapt to changes in global demand. In addition, the movement of students and teachers is influenced by globalization.</w:t>
            </w:r>
          </w:p>
          <w:p w:rsidR="00000000" w:rsidDel="00000000" w:rsidP="00000000" w:rsidRDefault="00000000" w:rsidRPr="00000000" w14:paraId="0000000B">
            <w:pPr>
              <w:spacing w:after="240" w:before="240" w:lineRule="auto"/>
              <w:jc w:val="both"/>
              <w:rPr>
                <w:rFonts w:ascii="Cambria" w:cs="Cambria" w:eastAsia="Cambria" w:hAnsi="Cambria"/>
                <w:i w:val="1"/>
                <w:sz w:val="18"/>
                <w:szCs w:val="18"/>
              </w:rPr>
            </w:pPr>
            <w:r w:rsidDel="00000000" w:rsidR="00000000" w:rsidRPr="00000000">
              <w:rPr>
                <w:rFonts w:ascii="Cambria" w:cs="Cambria" w:eastAsia="Cambria" w:hAnsi="Cambria"/>
                <w:i w:val="1"/>
                <w:sz w:val="18"/>
                <w:szCs w:val="18"/>
                <w:rtl w:val="0"/>
              </w:rPr>
              <w:t xml:space="preserve">This phenomenon affects socio-economic inequality within a country as well as the educational gap between industrialized countries and developing countries. Inequality in access to technology, resources, and educational opportunities is a barrier to reducing this gap. In this study, literature is used as a research method. Globalization has led to many cultural exchanges on a global scale. In an educational context, this can result in diversification in curriculum, instruction and assessment</w:t>
            </w:r>
          </w:p>
          <w:p w:rsidR="00000000" w:rsidDel="00000000" w:rsidP="00000000" w:rsidRDefault="00000000" w:rsidRPr="00000000" w14:paraId="0000000C">
            <w:pPr>
              <w:rPr>
                <w:rFonts w:ascii="Cambria" w:cs="Cambria" w:eastAsia="Cambria" w:hAnsi="Cambria"/>
                <w:b w:val="1"/>
                <w:i w:val="1"/>
                <w:sz w:val="18"/>
                <w:szCs w:val="18"/>
              </w:rPr>
            </w:pPr>
            <w:r w:rsidDel="00000000" w:rsidR="00000000" w:rsidRPr="00000000">
              <w:rPr>
                <w:rFonts w:ascii="Cambria" w:cs="Cambria" w:eastAsia="Cambria" w:hAnsi="Cambria"/>
                <w:b w:val="1"/>
                <w:i w:val="1"/>
                <w:sz w:val="18"/>
                <w:szCs w:val="18"/>
                <w:rtl w:val="0"/>
              </w:rPr>
              <w:t xml:space="preserve">Keywords: globalization; curriculum; multicultural</w:t>
            </w:r>
          </w:p>
        </w:tc>
      </w:tr>
    </w:tbl>
    <w:p w:rsidR="00000000" w:rsidDel="00000000" w:rsidP="00000000" w:rsidRDefault="00000000" w:rsidRPr="00000000" w14:paraId="0000000D">
      <w:pPr>
        <w:spacing w:after="0" w:line="240" w:lineRule="auto"/>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E">
      <w:pPr>
        <w:numPr>
          <w:ilvl w:val="0"/>
          <w:numId w:val="1"/>
        </w:numPr>
        <w:pBdr>
          <w:top w:space="0" w:sz="0" w:val="nil"/>
          <w:left w:space="0" w:sz="0" w:val="nil"/>
          <w:bottom w:space="0" w:sz="0" w:val="nil"/>
          <w:right w:space="0" w:sz="0" w:val="nil"/>
          <w:between w:space="0" w:sz="0" w:val="nil"/>
        </w:pBdr>
        <w:spacing w:after="0" w:line="276"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INTRODUCTION</w:t>
      </w:r>
      <w:r w:rsidDel="00000000" w:rsidR="00000000" w:rsidRPr="00000000">
        <w:rPr>
          <w:rtl w:val="0"/>
        </w:rPr>
      </w:r>
    </w:p>
    <w:p w:rsidR="00000000" w:rsidDel="00000000" w:rsidP="00000000" w:rsidRDefault="00000000" w:rsidRPr="00000000" w14:paraId="0000000F">
      <w:pPr>
        <w:spacing w:after="0" w:line="276" w:lineRule="auto"/>
        <w:ind w:left="360" w:firstLine="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shift towards globalization is the most obvious historical trend in the contemporary era. The term “globalization” refers to the process that creates a single world. Global society is becoming increasingly connected in all areas of life, including education. The evidence-based information we know has grown over the years through literature, gradually developing into a science with specialization in its field of expertise (Chaln Chavez &amp; Guevara Paredes, 2014).</w:t>
      </w:r>
    </w:p>
    <w:p w:rsidR="00000000" w:rsidDel="00000000" w:rsidP="00000000" w:rsidRDefault="00000000" w:rsidRPr="00000000" w14:paraId="00000010">
      <w:pPr>
        <w:spacing w:after="0" w:line="276" w:lineRule="auto"/>
        <w:ind w:left="360" w:firstLine="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Objectivity and orderly development with respect to universal laws of law that apply everywhere are scientific characteristics. In fact, one of the social and cultural institutions that helps society prepare for the future is  </w:t>
      </w:r>
    </w:p>
    <w:p w:rsidR="00000000" w:rsidDel="00000000" w:rsidP="00000000" w:rsidRDefault="00000000" w:rsidRPr="00000000" w14:paraId="00000011">
      <w:pPr>
        <w:spacing w:after="0" w:line="276" w:lineRule="auto"/>
        <w:ind w:left="360" w:firstLine="36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university. This is achieved by knowing how to find, use and process data, then analyzing it for current and future relevance. This evolution shows that universities have always had a tendency towards globalization, while also developing a cultural ethos and moral responsibility which along with increasingly mastered science and technology, allows universities to develop and be used as socio-cultural institutions before modernization (using and applying science and technology)(Kadarisman, 2017)</w:t>
      </w:r>
    </w:p>
    <w:p w:rsidR="00000000" w:rsidDel="00000000" w:rsidP="00000000" w:rsidRDefault="00000000" w:rsidRPr="00000000" w14:paraId="00000012">
      <w:pPr>
        <w:spacing w:after="0" w:line="276" w:lineRule="auto"/>
        <w:ind w:left="360" w:firstLine="36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RESEARCH METHOD</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after="0" w:line="240" w:lineRule="auto"/>
        <w:ind w:left="374" w:firstLine="346"/>
        <w:jc w:val="both"/>
        <w:rPr>
          <w:rFonts w:ascii="Cambria" w:cs="Cambria" w:eastAsia="Cambria" w:hAnsi="Cambria"/>
          <w:color w:val="000000"/>
          <w:sz w:val="24"/>
          <w:szCs w:val="24"/>
        </w:rPr>
      </w:pPr>
      <w:r w:rsidDel="00000000" w:rsidR="00000000" w:rsidRPr="00000000">
        <w:rPr>
          <w:rFonts w:ascii="Cambria" w:cs="Cambria" w:eastAsia="Cambria" w:hAnsi="Cambria"/>
          <w:sz w:val="24"/>
          <w:szCs w:val="24"/>
          <w:rtl w:val="0"/>
        </w:rPr>
        <w:t xml:space="preserve">This methods section must be able to explain the research methods used, including the place, time of the research and how the procedures were carried out. tools, materials, media or research instruments must be explained well. If necessary and important, there is an attachment regarding the structure of the instrument or fragments of material used just to provide examples for readers. If there are statistical formulas used as part of the research method, it is best not to write down formulas that are commonly used. For example, there are specific provisions set by researchers in order to collect and analyze research data which can be explained in this method section. Authors are advised to provide reference sources for the methods used.</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0" w:line="240" w:lineRule="auto"/>
        <w:ind w:left="374" w:firstLine="346"/>
        <w:jc w:val="both"/>
        <w:rPr>
          <w:rFonts w:ascii="Cambria" w:cs="Cambria" w:eastAsia="Cambria" w:hAnsi="Cambria"/>
          <w:b w:val="1"/>
          <w:color w:val="000000"/>
          <w:sz w:val="24"/>
          <w:szCs w:val="24"/>
        </w:rPr>
      </w:pPr>
      <w:r w:rsidDel="00000000" w:rsidR="00000000" w:rsidRPr="00000000">
        <w:rPr>
          <w:rtl w:val="0"/>
        </w:rPr>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RESULTS AND DISCUSSION</w:t>
      </w:r>
      <w:r w:rsidDel="00000000" w:rsidR="00000000" w:rsidRPr="00000000">
        <w:rPr>
          <w:rtl w:val="0"/>
        </w:rPr>
      </w:r>
    </w:p>
    <w:p w:rsidR="00000000" w:rsidDel="00000000" w:rsidP="00000000" w:rsidRDefault="00000000" w:rsidRPr="00000000" w14:paraId="00000017">
      <w:pPr>
        <w:spacing w:after="0" w:line="240" w:lineRule="auto"/>
        <w:ind w:left="720" w:firstLine="0"/>
        <w:jc w:val="both"/>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Globalization</w:t>
      </w:r>
    </w:p>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Globalization is the process of increasing economic, political, social, cultural, and technical integration and also the interconnection between nations, organizations, and people around the world. This is achieved through facilitating the movement of products, services, capital, ideas and information between interconnected countries. The effects of globalization have changed the way we communicate, do business and live globally. Globalization generally results in a more interconnected world where barriers and distance between places have less impact. It allows businesses and people to operate beyond national borders, participate in international markets, and access resources and opportunities abroad. Globalization has enabled people from different backgrounds to exchange cultures, ideas, and experiences. Without capabilities and knowledge, every country will be affected by technological globalization, which will turn experts and universities into external technological markets and not socio-cultural and economic institutions that filter science and technology from the perspective of the needs and interests of the State (Estuningtyas, 2018) .Globalization has had a significant impact on educational institutions in many countries.</w:t>
      </w:r>
    </w:p>
    <w:p w:rsidR="00000000" w:rsidDel="00000000" w:rsidP="00000000" w:rsidRDefault="00000000" w:rsidRPr="00000000" w14:paraId="00000019">
      <w:pPr>
        <w:pBdr>
          <w:top w:space="0" w:sz="0" w:val="nil"/>
          <w:left w:space="0" w:sz="0" w:val="nil"/>
          <w:bottom w:space="0" w:sz="0" w:val="nil"/>
          <w:right w:space="0" w:sz="0" w:val="nil"/>
          <w:between w:space="0" w:sz="0" w:val="nil"/>
        </w:pBd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following are some of the main effects of globalization on the Education system (Saodah et al., 2020).</w:t>
      </w:r>
    </w:p>
    <w:p w:rsidR="00000000" w:rsidDel="00000000" w:rsidP="00000000" w:rsidRDefault="00000000" w:rsidRPr="00000000" w14:paraId="0000001A">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 Getting information: The Internet and communications technology have made it easier and faster to get information. This allows instructors and students to access information and learning materials from around the world. Students can gain a deeper understanding of various disciplines and international contexts by doing this.</w:t>
      </w:r>
    </w:p>
    <w:p w:rsidR="00000000" w:rsidDel="00000000" w:rsidP="00000000" w:rsidRDefault="00000000" w:rsidRPr="00000000" w14:paraId="0000001B">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2. Globalization also influences the development of a more inclusive and open curriculum with a focus on cross-cultural awareness and world knowledge. International curricula such as the International Baccalaureate (IB) or Cambridge International Examinations, which give students the opportunity to study a wider range of courses and gain a deeper awareness of international issues, are now being adopted by many schools and universities.</w:t>
      </w:r>
    </w:p>
    <w:p w:rsidR="00000000" w:rsidDel="00000000" w:rsidP="00000000" w:rsidRDefault="00000000" w:rsidRPr="00000000" w14:paraId="0000001C">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 International exchange of students and programs: international exchange of students and programs between educational institutions in different countries is driven by globalization. As a result of participation in these programs, students are better able to understand the diversity of cultures and opinions of people around the world. In addition, opportunities to develop social and language skills are presented by exchange students.</w:t>
      </w:r>
    </w:p>
    <w:p w:rsidR="00000000" w:rsidDel="00000000" w:rsidP="00000000" w:rsidRDefault="00000000" w:rsidRPr="00000000" w14:paraId="0000001D">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4. Global competition: Competition in the field of education has increased as a result of globalization. Today, educational institutions compete on a global scale to attract the brightest students and most qualified faculty. Educational institutions must adopt the latest innovations, technologies, and teaching techniques to be relevant and competitive. This promotes improvement in the overall quality of education.</w:t>
      </w:r>
    </w:p>
    <w:p w:rsidR="00000000" w:rsidDel="00000000" w:rsidP="00000000" w:rsidRDefault="00000000" w:rsidRPr="00000000" w14:paraId="0000001E">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5. Modification of Educational Approaches: Globalization has also had an impact on educational approaches and instructional strategies. Teachers must equip students with the cross-cultural communication, global problem solving, critical thinking, and collaborative skills necessary to meet these difficulties. Interdisciplinary approaches, student-centered teaching strategies, and the use of technology in the classroom are becoming increasingly important in meeting the demands of globalization.</w:t>
      </w:r>
    </w:p>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way local and global factors interact in educational settings shows how the consequences of globalization influence and influence local factors in educational systems. This involves integrating international concepts into regional education while maintaining and advancing regional identity and requirements.</w:t>
      </w:r>
    </w:p>
    <w:p w:rsidR="00000000" w:rsidDel="00000000" w:rsidP="00000000" w:rsidRDefault="00000000" w:rsidRPr="00000000" w14:paraId="00000020">
      <w:pPr>
        <w:spacing w:after="0" w:line="276" w:lineRule="auto"/>
        <w:ind w:left="720" w:firstLine="720"/>
        <w:jc w:val="both"/>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Curriculum Changes</w:t>
      </w:r>
    </w:p>
    <w:p w:rsidR="00000000" w:rsidDel="00000000" w:rsidP="00000000" w:rsidRDefault="00000000" w:rsidRPr="00000000" w14:paraId="00000021">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 curriculum usually includes statements of purpose, specific instruction, selection, and organization of content, and may also propose or suggest certain patterns of learning and teaching, depending on the composition or goals of the curriculum. Finally, he needs a program that assesses learning outcomes. Objectives, substance, methods, and evaluation are components. However, it is common that these four form a single unit and that they are not always necessary components of curriculum change. Globalization has had a major impact on curriculum changes. Globalization has changed many aspects of education, including how the curriculum is developed (Hidayat, 2015).</w:t>
      </w:r>
    </w:p>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Some of the effects of globalization on curriculum modifications include those listed below:</w:t>
      </w:r>
    </w:p>
    <w:p w:rsidR="00000000" w:rsidDel="00000000" w:rsidP="00000000" w:rsidRDefault="00000000" w:rsidRPr="00000000" w14:paraId="00000023">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 More inclusive content: It is essential to prepare students to live in a globally connected society in this era of globalization. Most modern curricula include material that introduces students to various cultures, religions, languages, and worldviews. Education that promotes multiculturalism and diversity is important to increase one's understanding of global diversity.</w:t>
      </w:r>
    </w:p>
    <w:p w:rsidR="00000000" w:rsidDel="00000000" w:rsidP="00000000" w:rsidRDefault="00000000" w:rsidRPr="00000000" w14:paraId="00000024">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2. Global skills are emphasized: In an increasingly interconnected workplace, courses that have been influenced by globalization place a strong emphasis on developing capabilities that can be applied globally. Current curricula place a high focus on skills including clear communication, critical thinking, teamwork, openness to cultural differences, and understanding of global issues.</w:t>
      </w:r>
    </w:p>
    <w:p w:rsidR="00000000" w:rsidDel="00000000" w:rsidP="00000000" w:rsidRDefault="00000000" w:rsidRPr="00000000" w14:paraId="00000025">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 Globalization has influenced how we learn, work, and communicate. Introduction to technology and instruction in digital literacy are part of today's curriculum and help students prepare for the demands of a connected world. Today's curricula increasingly incorporate the use of technology for learning and the ability to explore information in digital settings.</w:t>
      </w:r>
    </w:p>
    <w:p w:rsidR="00000000" w:rsidDel="00000000" w:rsidP="00000000" w:rsidRDefault="00000000" w:rsidRPr="00000000" w14:paraId="00000026">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4. Acceptance of international standards: Globalization has also encouraged the acceptance of international educational standards. Internationally recognized global standards are often mentioned in the curricula implemented in many countries. It provides easy recognition of educational qualifications across the country and facilitates mobility of students and professionals.</w:t>
      </w:r>
    </w:p>
    <w:p w:rsidR="00000000" w:rsidDel="00000000" w:rsidP="00000000" w:rsidRDefault="00000000" w:rsidRPr="00000000" w14:paraId="00000027">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5. Topic updates: In the context of globalization, some topics are undergoing updates to take into account new developments. For example, the importance of courses such as economics, political science, social science, and foreign studies in the curriculum is increasing as a result of the need to prepare students for the opportunities and difficulties that come with globalization.</w:t>
      </w:r>
    </w:p>
    <w:p w:rsidR="00000000" w:rsidDel="00000000" w:rsidP="00000000" w:rsidRDefault="00000000" w:rsidRPr="00000000" w14:paraId="00000028">
      <w:pPr>
        <w:pBdr>
          <w:top w:space="0" w:sz="0" w:val="nil"/>
          <w:left w:space="0" w:sz="0" w:val="nil"/>
          <w:bottom w:space="0" w:sz="0" w:val="nil"/>
          <w:right w:space="0" w:sz="0" w:val="nil"/>
          <w:between w:space="0" w:sz="0" w:val="nil"/>
        </w:pBd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Teachers, subject matter experts, educational specialists, and other decision makers often participate in the decision-making process for curriculum revision. It is important to ensure that any modifications take into account the demands and expectations of society, students, and the world of work. The development of global capabilities has received substantial attention in curriculum revisions undertaken in response to globalization. This highlights the need to educate children to participate and contribute in an increasingly interconnected society on a global scale. Curriculum changes that affect globalization should include cross-cultural perspectives or inclusion of global themes in topics. To prepare students to become global citizens, the curriculum incorporates global issues and cross-cultural approaches.</w:t>
      </w:r>
    </w:p>
    <w:p w:rsidR="00000000" w:rsidDel="00000000" w:rsidP="00000000" w:rsidRDefault="00000000" w:rsidRPr="00000000" w14:paraId="00000029">
      <w:pPr>
        <w:pBdr>
          <w:top w:space="0" w:sz="0" w:val="nil"/>
          <w:left w:space="0" w:sz="0" w:val="nil"/>
          <w:bottom w:space="0" w:sz="0" w:val="nil"/>
          <w:right w:space="0" w:sz="0" w:val="nil"/>
          <w:between w:space="0" w:sz="0" w:val="nil"/>
        </w:pBdr>
        <w:spacing w:after="0" w:line="276" w:lineRule="auto"/>
        <w:ind w:left="720" w:firstLine="72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after="0" w:line="276" w:lineRule="auto"/>
        <w:ind w:left="720" w:firstLine="720"/>
        <w:jc w:val="both"/>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Student Mobility</w:t>
      </w:r>
    </w:p>
    <w:p w:rsidR="00000000" w:rsidDel="00000000" w:rsidP="00000000" w:rsidRDefault="00000000" w:rsidRPr="00000000" w14:paraId="0000002B">
      <w:pPr>
        <w:pBdr>
          <w:top w:space="0" w:sz="0" w:val="nil"/>
          <w:left w:space="0" w:sz="0" w:val="nil"/>
          <w:bottom w:space="0" w:sz="0" w:val="nil"/>
          <w:right w:space="0" w:sz="0" w:val="nil"/>
          <w:between w:space="0" w:sz="0" w:val="nil"/>
        </w:pBd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Globalization creates models of social systems because it is important for their work to understand or broadly characterize patterns of social behavior. It should focus on the underlying causes of structured behavior to understand it more thoroughly. Three important components that cause behavior are usually included in models or theories, namely: (1) socio-cultural structures, which refer to expected patterns of behavior, (2) situational factors, which refer to all the physical and social circumstances that surround the creation and social system functions, and (3) personality factors, which relate to all psychological and biological factors that have an impact on the behavior of individual actors. Student migration significantly influences personal growth, global learning, and cross-cultural understanding (Etistika Yuni Wijaya et al., 2016). Here are some potential advantages:</w:t>
      </w:r>
    </w:p>
    <w:p w:rsidR="00000000" w:rsidDel="00000000" w:rsidP="00000000" w:rsidRDefault="00000000" w:rsidRPr="00000000" w14:paraId="0000002C">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w:t>
        <w:tab/>
        <w:t xml:space="preserve">Students who move to a new location will be exposed to different cultures, traditions, and values, which will help them better understand other cultures. They gain a deeper understanding of the diversity of civilizations on our planet as a result. They can pick up information about customs, language, cuisine, and other cultural differences. This intercultural awareness can broaden students' perspectives, reduce prejudice, and encourage greater tolerance for diversity.</w:t>
      </w:r>
    </w:p>
    <w:p w:rsidR="00000000" w:rsidDel="00000000" w:rsidP="00000000" w:rsidRDefault="00000000" w:rsidRPr="00000000" w14:paraId="0000002D">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b.</w:t>
        <w:tab/>
        <w:t xml:space="preserve">Significant personal growth: Student mobility challenges them to leave their comfort zone and adapt to new situations. It promotes growth in independence, self-confidence, social skills, and mental resilience. Without direct help from their families, students must learn how to deal with strangers, overcome obstacles, and function in everyday life. All of this promotes the development of students as more independent, responsive and adaptable people.</w:t>
      </w:r>
    </w:p>
    <w:p w:rsidR="00000000" w:rsidDel="00000000" w:rsidP="00000000" w:rsidRDefault="00000000" w:rsidRPr="00000000" w14:paraId="0000002E">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w:t>
        <w:tab/>
        <w:t xml:space="preserve">By attending schools in different countries, students gain opportunities</w:t>
      </w:r>
    </w:p>
    <w:p w:rsidR="00000000" w:rsidDel="00000000" w:rsidP="00000000" w:rsidRDefault="00000000" w:rsidRPr="00000000" w14:paraId="0000002F">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to learn about new educational systems, curricula, and teaching styles. In their studies, they can gain a greater perspective on global concerns and international viewpoints. Students who engage in this global learning are better able to understand social, economic, and political differences in various countries and have a greater understanding of universal problems such as poverty, climate change, and world peace.</w:t>
      </w:r>
    </w:p>
    <w:p w:rsidR="00000000" w:rsidDel="00000000" w:rsidP="00000000" w:rsidRDefault="00000000" w:rsidRPr="00000000" w14:paraId="00000030">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International networking and relationships: Due to student mobility, students can develop networks and connections with individuals from various cultural backgrounds. They can develop lifelong relationships with people from other countries. These networks can offer prospects for future collaboration as well as support and inspiration. Additionally, connections made abroad through student mobility can have social and professional benefits and open doors to study or work opportunities outside the country.</w:t>
      </w:r>
    </w:p>
    <w:p w:rsidR="00000000" w:rsidDel="00000000" w:rsidP="00000000" w:rsidRDefault="00000000" w:rsidRPr="00000000" w14:paraId="00000031">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ab/>
        <w:t xml:space="preserve">Although student mobility has many benefits, it is important to remember that students may have difficulty adapting and changing in new situations. Some students may have difficulty adjusting, lose loved ones, or experience language barriers. As a result, adequate social support and assistance is essential to ensure a successful and rewarding student mobility experience.</w:t>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0" w:line="276" w:lineRule="auto"/>
        <w:ind w:left="720" w:firstLine="720"/>
        <w:jc w:val="both"/>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Influence of Technology</w:t>
      </w:r>
    </w:p>
    <w:p w:rsidR="00000000" w:rsidDel="00000000" w:rsidP="00000000" w:rsidRDefault="00000000" w:rsidRPr="00000000" w14:paraId="00000033">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Improved education and professionalism of staff It is very important that teachersprofessionals regularly expand their range of skills. A teacher must explore and cultivate potential for other abilities rather than being satisfied with current abilities. On the other hand, Minister of National Education Regulation no. 13 of 2007 establishes five competencies for professional teacher entrepreneurship, including: 1. Creating innovations that are beneficial for the growth of madrasas and schools. 2. Put in a lot of effort to succeed. 3. Have a strong desire to complete the main task successfully. 4. Facing the challenges that schools and madrasas must overcome, never give up and constantly look for the best answers. 5. Explain school/madrasah production/service activities as a learning resource for students with an entrepreneurial mindset.</w:t>
      </w:r>
    </w:p>
    <w:p w:rsidR="00000000" w:rsidDel="00000000" w:rsidP="00000000" w:rsidRDefault="00000000" w:rsidRPr="00000000" w14:paraId="00000034">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However, developing these skills will contribute significantly to improving the quality of education for both schools and the rest of the world. This is because developing these skills is not just for the teacher's personal gain.</w:t>
      </w:r>
    </w:p>
    <w:p w:rsidR="00000000" w:rsidDel="00000000" w:rsidP="00000000" w:rsidRDefault="00000000" w:rsidRPr="00000000" w14:paraId="00000035">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ab/>
        <w:t xml:space="preserve">Professional development can be characterized as a broad process that does not stop in a teacher's career sector, so that he or she will then be suited to the profession according to what is needed by students. As a result of increased professionalism, teachers are better able to observe and evaluate the children they teach. Based on student responses and preferences, teachers will continually evaluate the class and adjust teaching strategies. To improve the quality of learning, a teacher must be able to foster a favorable environment, take advantage of circumstances, increase motivation, and develop personal, professional and in-depth aspects (Elitasari, 2022). The professional nature of these instructors needs to be cultivated so that they are dedicated to creativity, discipline, and responsibility as well as a constant desire to learn more.</w:t>
      </w:r>
    </w:p>
    <w:p w:rsidR="00000000" w:rsidDel="00000000" w:rsidP="00000000" w:rsidRDefault="00000000" w:rsidRPr="00000000" w14:paraId="00000036">
      <w:pPr>
        <w:pBdr>
          <w:top w:space="0" w:sz="0" w:val="nil"/>
          <w:left w:space="0" w:sz="0" w:val="nil"/>
          <w:bottom w:space="0" w:sz="0" w:val="nil"/>
          <w:right w:space="0" w:sz="0" w:val="nil"/>
          <w:between w:space="0" w:sz="0" w:val="nil"/>
        </w:pBd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field of education has experienced many changes and advances as a result of the use of technology in learning. The following are several examples of how technology is used in education (Ismaniati, 2013).</w:t>
      </w:r>
    </w:p>
    <w:p w:rsidR="00000000" w:rsidDel="00000000" w:rsidP="00000000" w:rsidRDefault="00000000" w:rsidRPr="00000000" w14:paraId="00000037">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 Access to information: Technology makes it easy and fast to access various sources of information. Students and teachers can quickly find and obtain information thanks to the internet. Due to this, they are able to conduct in-depth research on specific topics and deepen their understanding.</w:t>
      </w:r>
    </w:p>
    <w:p w:rsidR="00000000" w:rsidDel="00000000" w:rsidP="00000000" w:rsidRDefault="00000000" w:rsidRPr="00000000" w14:paraId="00000038">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2. Interactive learning is made possible by web-based learning platforms and educational applications. They get online access to course materials, homework, and activities. Additionally, web-based learning allows students to collaborate with each other and with their teachers.</w:t>
      </w:r>
    </w:p>
    <w:p w:rsidR="00000000" w:rsidDel="00000000" w:rsidP="00000000" w:rsidRDefault="00000000" w:rsidRPr="00000000" w14:paraId="00000039">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 E-learning or distance learning is now possible thanks to technology. Using a computer or mobile device, students can attend class and access educational resources from any location. Students who cannot attend physical classes due to living in rural areas or having limited mobility now have more flexibility.</w:t>
      </w:r>
    </w:p>
    <w:p w:rsidR="00000000" w:rsidDel="00000000" w:rsidP="00000000" w:rsidRDefault="00000000" w:rsidRPr="00000000" w14:paraId="0000003A">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4. Interactive Multimedia: Using multimedia in the classroom, such as video, audio, and graphics, makes learning more interesting and interactive. Technology also makes it possible to use educational simulations and games that help students learn difficult ideas in a more engaging and visible way.</w:t>
      </w:r>
    </w:p>
    <w:p w:rsidR="00000000" w:rsidDel="00000000" w:rsidP="00000000" w:rsidRDefault="00000000" w:rsidRPr="00000000" w14:paraId="0000003B">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5. Collaboration and project-based learning: Students can work together on learning projects thanks to technology. Online collaboration allows them to exchange ideas and learn from each other.</w:t>
      </w:r>
    </w:p>
    <w:p w:rsidR="00000000" w:rsidDel="00000000" w:rsidP="00000000" w:rsidRDefault="00000000" w:rsidRPr="00000000" w14:paraId="0000003C">
      <w:pPr>
        <w:spacing w:after="0" w:line="276" w:lineRule="auto"/>
        <w:ind w:left="720" w:firstLine="72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after="0" w:line="276" w:lineRule="auto"/>
        <w:ind w:left="720" w:firstLine="720"/>
        <w:jc w:val="both"/>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Multicultural and Inclusive Education</w:t>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after="0" w:line="276" w:lineRule="auto"/>
        <w:ind w:left="720" w:firstLine="720"/>
        <w:jc w:val="both"/>
        <w:rPr>
          <w:rFonts w:ascii="Cambria" w:cs="Cambria" w:eastAsia="Cambria" w:hAnsi="Cambria"/>
          <w:b w:val="1"/>
          <w:sz w:val="24"/>
          <w:szCs w:val="24"/>
        </w:rPr>
      </w:pPr>
      <w:r w:rsidDel="00000000" w:rsidR="00000000" w:rsidRPr="00000000">
        <w:rPr>
          <w:rtl w:val="0"/>
        </w:rPr>
      </w:r>
    </w:p>
    <w:p w:rsidR="00000000" w:rsidDel="00000000" w:rsidP="00000000" w:rsidRDefault="00000000" w:rsidRPr="00000000" w14:paraId="0000003F">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idea of ​​multiculturalism is one that promotes not only equality all national and cultural groups but also the idea that groups Different cultures have the right to follow their own development paths and have their own activities, values ​​and norms. Self-examination leading to self-awareness is the main basis of the multicultural perspective. But the professional progress of psychologists has only begun with this realization. Increasing interactions with different groups and learning about their beliefs, cultures, and lifestyles is important for a psychologist who uses a multicultural approach. This experience will enhance one's ability to apply relevant psychological knowledge in a culturally competent manner. This school of psychology is strengthened by cross-cultural psychology using a multicultural approach, which offers evidence about behavior, motivation and emotions. Cross-cultural psychology supports this school of psychology by taking a multicultural approach (Maulani, 2013).</w:t>
      </w:r>
    </w:p>
    <w:p w:rsidR="00000000" w:rsidDel="00000000" w:rsidP="00000000" w:rsidRDefault="00000000" w:rsidRPr="00000000" w14:paraId="00000040">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When faced with a new, unfinished curriculum, there will be visible changes. Teachers usually recognize the need to demonstrate their skills rather than simply continuing the old curriculum along with the new. </w:t>
      </w:r>
    </w:p>
    <w:p w:rsidR="00000000" w:rsidDel="00000000" w:rsidP="00000000" w:rsidRDefault="00000000" w:rsidRPr="00000000" w14:paraId="00000041">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“Confusion of method is a central feature of theory curriculum,” wrote Hilda Taba in 1962. Even after her thorough explanation of this hypothesis, uncertainty still persists at times. No, it is unimaginable in the length of this century. Even though there is a nation that is advancing the world, educators have failed because of their limited conception of education. Another example is the curriculum. Although the Ministry of Education and Culture can now see the problem clearly, it is certain that it happened in Indonesia and that it could happen again if political pressure to make hasty changes dominates expert assessments. To make the problem clear, we really need to put it into a semantic problem.</w:t>
      </w:r>
    </w:p>
    <w:p w:rsidR="00000000" w:rsidDel="00000000" w:rsidP="00000000" w:rsidRDefault="00000000" w:rsidRPr="00000000" w14:paraId="00000042">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Critical thinking and considering how the curriculum can represent student diversity is necessary to create culturally responsive curricular. Creating a learning environment that respects, recognizes, and considers the diversity of cultures, races, beliefs, socioeconomic backgrounds, skills, and other individual differences in the educational community is the goal of a multicultural and inclusive education approach (Jiyanto &amp; Efendi, 2016). Some of the principles and tactics used in multicultural and inclusive educational approaches include those listed below:</w:t>
      </w:r>
    </w:p>
    <w:p w:rsidR="00000000" w:rsidDel="00000000" w:rsidP="00000000" w:rsidRDefault="00000000" w:rsidRPr="00000000" w14:paraId="00000043">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 Respect diversity: The diverse cultures and experiences of students must be recognized, understood, and valued as positive assets in the classroom.</w:t>
      </w:r>
    </w:p>
    <w:p w:rsidR="00000000" w:rsidDel="00000000" w:rsidP="00000000" w:rsidRDefault="00000000" w:rsidRPr="00000000" w14:paraId="00000044">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2. Culturally sensitive curriculum: Create a curriculum that takes a broad view of student experiences, cultures, and perspectives. This curriculum should stimulate critical thinking and introspection, as well as awareness and respect for diversity.</w:t>
      </w:r>
    </w:p>
    <w:p w:rsidR="00000000" w:rsidDel="00000000" w:rsidP="00000000" w:rsidRDefault="00000000" w:rsidRPr="00000000" w14:paraId="00000045">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 Encourage student decision making and participation: Students should be encouraged to take an active role in their education. Give them the opportunity to express their unique opinions, experiences and knowledge.</w:t>
      </w:r>
    </w:p>
    <w:p w:rsidR="00000000" w:rsidDel="00000000" w:rsidP="00000000" w:rsidRDefault="00000000" w:rsidRPr="00000000" w14:paraId="00000046">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4. Promote collaboration, communication, and engagement between students from various cultural backgrounds. Create a space where students can share knowledge and encourage each other.</w:t>
      </w:r>
    </w:p>
    <w:p w:rsidR="00000000" w:rsidDel="00000000" w:rsidP="00000000" w:rsidRDefault="00000000" w:rsidRPr="00000000" w14:paraId="00000047">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5. Teachers as Facilitators: Teachers must serve as advocates for learning that promotes inclusion and diversity. They must offer all children a safe and encouraging environment while considering a variety of learning styles.</w:t>
      </w:r>
    </w:p>
    <w:p w:rsidR="00000000" w:rsidDel="00000000" w:rsidP="00000000" w:rsidRDefault="00000000" w:rsidRPr="00000000" w14:paraId="00000048">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6. Inclusive Materials and Resources: Ensure that textbooks, instructional materials, and other resources adequately represent all cultures.</w:t>
      </w:r>
    </w:p>
    <w:p w:rsidR="00000000" w:rsidDel="00000000" w:rsidP="00000000" w:rsidRDefault="00000000" w:rsidRPr="00000000" w14:paraId="00000049">
      <w:pPr>
        <w:spacing w:after="0" w:line="276" w:lineRule="auto"/>
        <w:ind w:left="720" w:firstLine="720"/>
        <w:jc w:val="both"/>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Challenges and Opportunities</w:t>
      </w:r>
    </w:p>
    <w:p w:rsidR="00000000" w:rsidDel="00000000" w:rsidP="00000000" w:rsidRDefault="00000000" w:rsidRPr="00000000" w14:paraId="0000004A">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Education systems in various countries face significant difficulties and opportunities as a result of globalization. The following list describes the opportunities and</w:t>
      </w:r>
    </w:p>
    <w:p w:rsidR="00000000" w:rsidDel="00000000" w:rsidP="00000000" w:rsidRDefault="00000000" w:rsidRPr="00000000" w14:paraId="0000004B">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difficulties offered by the globalization of education(Oo et al., 2022).</w:t>
      </w:r>
    </w:p>
    <w:p w:rsidR="00000000" w:rsidDel="00000000" w:rsidP="00000000" w:rsidRDefault="00000000" w:rsidRPr="00000000" w14:paraId="0000004C">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1. International Competition: In the era of globalization, education systems must compete on a global scale in terms of curriculum, student outcomes, and quality of education. To remain competitive and stay relevant, countries must raise their educational standards.</w:t>
      </w:r>
    </w:p>
    <w:p w:rsidR="00000000" w:rsidDel="00000000" w:rsidP="00000000" w:rsidRDefault="00000000" w:rsidRPr="00000000" w14:paraId="0000004D">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2. Cultural mix: As a result of globalization, educational settings now feature a wider variety of cultural backgrounds. This makes it difficult to integrate many cultural values ​​into the education system without jeopardizing different cultural identities.</w:t>
      </w:r>
    </w:p>
    <w:p w:rsidR="00000000" w:rsidDel="00000000" w:rsidP="00000000" w:rsidRDefault="00000000" w:rsidRPr="00000000" w14:paraId="0000004E">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3. Increased mobility of international students: Globalization has increased the mobility of international students. This makes it difficult to accommodate students from different cultural backgrounds, languages, and educational systems. Education systems must be equipped to appropriately support overseas students.</w:t>
      </w:r>
    </w:p>
    <w:p w:rsidR="00000000" w:rsidDel="00000000" w:rsidP="00000000" w:rsidRDefault="00000000" w:rsidRPr="00000000" w14:paraId="0000004F">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4. Technology and digitalization: The methods by which learning and teaching are carried out have changed as a result of advances in technology and digitalization. There are difficulties in integrating technology into education, educating students for rapid technological advances, and ensuring that all students have equitable access to technology.</w:t>
      </w:r>
    </w:p>
    <w:p w:rsidR="00000000" w:rsidDel="00000000" w:rsidP="00000000" w:rsidRDefault="00000000" w:rsidRPr="00000000" w14:paraId="00000050">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5. Opportunities: Greater access to international educational materials, such as textbooks, scientific publications, and student exchange programs, is made possible by globalization. Education systems can take advantage of this opportunity to raise standards of instruction and broaden students' horizons.</w:t>
      </w:r>
    </w:p>
    <w:p w:rsidR="00000000" w:rsidDel="00000000" w:rsidP="00000000" w:rsidRDefault="00000000" w:rsidRPr="00000000" w14:paraId="00000051">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6. Globalization promotes international cooperation and exchange of knowledge between educational institutions in many countries. Education systems can expand learning programs, deepen curricula, and promote cross-cultural understanding through international alliances and cooperation.</w:t>
      </w:r>
    </w:p>
    <w:p w:rsidR="00000000" w:rsidDel="00000000" w:rsidP="00000000" w:rsidRDefault="00000000" w:rsidRPr="00000000" w14:paraId="00000052">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7. Global career preparation: Today's students must be prepared for the ever-changing global job market. The multicultural, multilingual, and collaborative skills necessary for success in the global workplace can be learned through educational institutions.</w:t>
      </w:r>
    </w:p>
    <w:p w:rsidR="00000000" w:rsidDel="00000000" w:rsidP="00000000" w:rsidRDefault="00000000" w:rsidRPr="00000000" w14:paraId="00000053">
      <w:pPr>
        <w:spacing w:after="0" w:line="276" w:lineRule="auto"/>
        <w:ind w:left="720" w:firstLine="7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8. Globalization is the driving force behind educational innovation. To increase the effectiveness, efficiency, and accessibility of learning, education systems can benefit from new technologies and learning techniques. This opportunity makes it possible to create an education system that is more flexible and responsive to the demands of students and the global labor market.</w:t>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after="0" w:line="276" w:lineRule="auto"/>
        <w:ind w:left="720" w:firstLine="720"/>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55">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CONCLUSION</w:t>
      </w: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spacing w:after="0" w:line="276" w:lineRule="auto"/>
        <w:ind w:left="363" w:firstLine="357"/>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Globalization has led to much cultural exchange on a global scale. In an educational context, this can result in diversification in curriculum, instruction and assessment. Schools can cover a greater range of cultural topics and perspectives, encouraging students to accept and understand cultural differences. The adoption of international standards in education has been influenced by globalization. By making it easier to compare education systems from different countries and increasing transparency and accountability, this can have a positive effect. Some critics counter that by ignoring local context, these standards can lead to uniformity of curriculum. The availability of information and educational resources has increased as a result of globalization. Students can now access educational resources from around the world, including online courses and study materials, thanks to advances in information and communications technology. This can help overcome the gap in access to education between developed and developing countries.</w:t>
      </w:r>
    </w:p>
    <w:p w:rsidR="00000000" w:rsidDel="00000000" w:rsidP="00000000" w:rsidRDefault="00000000" w:rsidRPr="00000000" w14:paraId="00000057">
      <w:pPr>
        <w:pBdr>
          <w:top w:space="0" w:sz="0" w:val="nil"/>
          <w:left w:space="0" w:sz="0" w:val="nil"/>
          <w:bottom w:space="0" w:sz="0" w:val="nil"/>
          <w:right w:space="0" w:sz="0" w:val="nil"/>
          <w:between w:space="0" w:sz="0" w:val="nil"/>
        </w:pBdr>
        <w:spacing w:after="0" w:line="276" w:lineRule="auto"/>
        <w:ind w:left="363" w:firstLine="357"/>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 a number of countries, globalization has encouraged the commercialization of education. An emphasis on financial gain over teaching excellence may grow in private schools and other educational institutions. This can lead to unequal access to education, with good education only available to those who can afford it. Globalization has changed perceptions about the role and purpose of education. Education today is seen as a tool for developing students into capable and adaptable global citizens who promote cross-cultural collaboration. Education emphasizes the acquisition of knowledge and the growth of social and cultural competence. Globalization has both good and bad effects on the education system as a whole. Due to the new opportunities and problems created by globalization, education has undergone a substantial transformation. To maintain local values ​​and better prepare students for a more interconnected society on a global scale, it is critical that education systems recognize and respond to the impacts of globalization.</w:t>
      </w:r>
    </w:p>
    <w:p w:rsidR="00000000" w:rsidDel="00000000" w:rsidP="00000000" w:rsidRDefault="00000000" w:rsidRPr="00000000" w14:paraId="00000058">
      <w:pPr>
        <w:pBdr>
          <w:top w:space="0" w:sz="0" w:val="nil"/>
          <w:left w:space="0" w:sz="0" w:val="nil"/>
          <w:bottom w:space="0" w:sz="0" w:val="nil"/>
          <w:right w:space="0" w:sz="0" w:val="nil"/>
          <w:between w:space="0" w:sz="0" w:val="nil"/>
        </w:pBdr>
        <w:spacing w:after="0" w:line="240" w:lineRule="auto"/>
        <w:ind w:left="363" w:firstLine="357"/>
        <w:jc w:val="both"/>
        <w:rPr>
          <w:rFonts w:ascii="Cambria" w:cs="Cambria" w:eastAsia="Cambria" w:hAnsi="Cambria"/>
          <w:color w:val="000000"/>
          <w:sz w:val="24"/>
          <w:szCs w:val="24"/>
        </w:rPr>
      </w:pPr>
      <w:r w:rsidDel="00000000" w:rsidR="00000000" w:rsidRPr="00000000">
        <w:rPr>
          <w:rtl w:val="0"/>
        </w:rPr>
      </w:r>
    </w:p>
    <w:p w:rsidR="00000000" w:rsidDel="00000000" w:rsidP="00000000" w:rsidRDefault="00000000" w:rsidRPr="00000000" w14:paraId="00000059">
      <w:pPr>
        <w:numPr>
          <w:ilvl w:val="0"/>
          <w:numId w:val="1"/>
        </w:numPr>
        <w:pBdr>
          <w:top w:space="0" w:sz="0" w:val="nil"/>
          <w:left w:space="0" w:sz="0" w:val="nil"/>
          <w:bottom w:space="0" w:sz="0" w:val="nil"/>
          <w:right w:space="0" w:sz="0" w:val="nil"/>
          <w:between w:space="0" w:sz="0" w:val="nil"/>
        </w:pBdr>
        <w:spacing w:after="0" w:line="240" w:lineRule="auto"/>
        <w:ind w:left="360" w:hanging="360"/>
        <w:jc w:val="both"/>
        <w:rPr>
          <w:rFonts w:ascii="Cambria" w:cs="Cambria" w:eastAsia="Cambria" w:hAnsi="Cambria"/>
          <w:b w:val="1"/>
          <w:color w:val="000000"/>
          <w:sz w:val="24"/>
          <w:szCs w:val="24"/>
        </w:rPr>
      </w:pPr>
      <w:r w:rsidDel="00000000" w:rsidR="00000000" w:rsidRPr="00000000">
        <w:rPr>
          <w:rFonts w:ascii="Cambria" w:cs="Cambria" w:eastAsia="Cambria" w:hAnsi="Cambria"/>
          <w:b w:val="1"/>
          <w:sz w:val="24"/>
          <w:szCs w:val="24"/>
          <w:rtl w:val="0"/>
        </w:rPr>
        <w:t xml:space="preserve">REFERENCES</w:t>
      </w:r>
      <w:r w:rsidDel="00000000" w:rsidR="00000000" w:rsidRPr="00000000">
        <w:rPr>
          <w:rtl w:val="0"/>
        </w:rPr>
      </w:r>
    </w:p>
    <w:p w:rsidR="00000000" w:rsidDel="00000000" w:rsidP="00000000" w:rsidRDefault="00000000" w:rsidRPr="00000000" w14:paraId="0000005A">
      <w:pPr>
        <w:spacing w:after="240" w:line="276" w:lineRule="auto"/>
        <w:ind w:left="840" w:hanging="480"/>
        <w:jc w:val="both"/>
        <w:rPr>
          <w:rFonts w:ascii="Cambria" w:cs="Cambria" w:eastAsia="Cambria" w:hAnsi="Cambria"/>
          <w:color w:val="0563c1"/>
          <w:sz w:val="24"/>
          <w:szCs w:val="24"/>
          <w:u w:val="single"/>
        </w:rPr>
      </w:pPr>
      <w:r w:rsidDel="00000000" w:rsidR="00000000" w:rsidRPr="00000000">
        <w:rPr>
          <w:rFonts w:ascii="Cambria" w:cs="Cambria" w:eastAsia="Cambria" w:hAnsi="Cambria"/>
          <w:sz w:val="24"/>
          <w:szCs w:val="24"/>
          <w:rtl w:val="0"/>
        </w:rPr>
        <w:t xml:space="preserve">Elitasari, H. T. (2022). Kontribusi Guru Dalam Meningkatkan Kualitas Pendidikan Abad 21. </w:t>
      </w:r>
      <w:r w:rsidDel="00000000" w:rsidR="00000000" w:rsidRPr="00000000">
        <w:rPr>
          <w:rFonts w:ascii="Cambria" w:cs="Cambria" w:eastAsia="Cambria" w:hAnsi="Cambria"/>
          <w:i w:val="1"/>
          <w:sz w:val="24"/>
          <w:szCs w:val="24"/>
          <w:rtl w:val="0"/>
        </w:rPr>
        <w:t xml:space="preserve">Jurnal</w:t>
        <w:br w:type="textWrapping"/>
        <w:t xml:space="preserve"> Basicedu</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1"/>
          <w:sz w:val="24"/>
          <w:szCs w:val="24"/>
          <w:rtl w:val="0"/>
        </w:rPr>
        <w:t xml:space="preserve">6</w:t>
      </w:r>
      <w:r w:rsidDel="00000000" w:rsidR="00000000" w:rsidRPr="00000000">
        <w:rPr>
          <w:rFonts w:ascii="Cambria" w:cs="Cambria" w:eastAsia="Cambria" w:hAnsi="Cambria"/>
          <w:sz w:val="24"/>
          <w:szCs w:val="24"/>
          <w:rtl w:val="0"/>
        </w:rPr>
        <w:t xml:space="preserve">(6), 9508-9516.</w:t>
      </w:r>
      <w:hyperlink r:id="rId7">
        <w:r w:rsidDel="00000000" w:rsidR="00000000" w:rsidRPr="00000000">
          <w:rPr>
            <w:rFonts w:ascii="Cambria" w:cs="Cambria" w:eastAsia="Cambria" w:hAnsi="Cambria"/>
            <w:sz w:val="24"/>
            <w:szCs w:val="24"/>
            <w:rtl w:val="0"/>
          </w:rPr>
          <w:t xml:space="preserve"> </w:t>
        </w:r>
      </w:hyperlink>
      <w:hyperlink r:id="rId8">
        <w:r w:rsidDel="00000000" w:rsidR="00000000" w:rsidRPr="00000000">
          <w:rPr>
            <w:rFonts w:ascii="Cambria" w:cs="Cambria" w:eastAsia="Cambria" w:hAnsi="Cambria"/>
            <w:color w:val="0563c1"/>
            <w:sz w:val="24"/>
            <w:szCs w:val="24"/>
            <w:u w:val="single"/>
            <w:rtl w:val="0"/>
          </w:rPr>
          <w:t xml:space="preserve">Https://Doi.Org/10.31004/Basicedu.V6i6.4120</w:t>
        </w:r>
      </w:hyperlink>
      <w:r w:rsidDel="00000000" w:rsidR="00000000" w:rsidRPr="00000000">
        <w:rPr>
          <w:rtl w:val="0"/>
        </w:rPr>
      </w:r>
    </w:p>
    <w:p w:rsidR="00000000" w:rsidDel="00000000" w:rsidP="00000000" w:rsidRDefault="00000000" w:rsidRPr="00000000" w14:paraId="0000005B">
      <w:pPr>
        <w:spacing w:after="240" w:before="240" w:line="276" w:lineRule="auto"/>
        <w:ind w:left="840" w:hanging="480"/>
        <w:jc w:val="both"/>
        <w:rPr>
          <w:rFonts w:ascii="Cambria" w:cs="Cambria" w:eastAsia="Cambria" w:hAnsi="Cambria"/>
          <w:color w:val="0563c1"/>
          <w:sz w:val="24"/>
          <w:szCs w:val="24"/>
          <w:u w:val="single"/>
        </w:rPr>
      </w:pPr>
      <w:r w:rsidDel="00000000" w:rsidR="00000000" w:rsidRPr="00000000">
        <w:rPr>
          <w:rFonts w:ascii="Cambria" w:cs="Cambria" w:eastAsia="Cambria" w:hAnsi="Cambria"/>
          <w:sz w:val="24"/>
          <w:szCs w:val="24"/>
          <w:rtl w:val="0"/>
        </w:rPr>
        <w:t xml:space="preserve">Estuningtyas, R. D. (2018). Dampak Globalisasi Pada Politik, Ekonomi, Cara Berfikir Dan Ideologi</w:t>
        <w:br w:type="textWrapping"/>
        <w:t xml:space="preserve"> Serta Tantangan          </w:t>
        <w:tab/>
        <w:t xml:space="preserve">Dakwahnya. </w:t>
        <w:tab/>
      </w:r>
      <w:r w:rsidDel="00000000" w:rsidR="00000000" w:rsidRPr="00000000">
        <w:rPr>
          <w:rFonts w:ascii="Cambria" w:cs="Cambria" w:eastAsia="Cambria" w:hAnsi="Cambria"/>
          <w:i w:val="1"/>
          <w:sz w:val="24"/>
          <w:szCs w:val="24"/>
          <w:rtl w:val="0"/>
        </w:rPr>
        <w:t xml:space="preserve">Al-Munzir</w:t>
      </w:r>
      <w:r w:rsidDel="00000000" w:rsidR="00000000" w:rsidRPr="00000000">
        <w:rPr>
          <w:rFonts w:ascii="Cambria" w:cs="Cambria" w:eastAsia="Cambria" w:hAnsi="Cambria"/>
          <w:sz w:val="24"/>
          <w:szCs w:val="24"/>
          <w:rtl w:val="0"/>
        </w:rPr>
        <w:t xml:space="preserve">.   </w:t>
        <w:tab/>
      </w:r>
      <w:hyperlink r:id="rId9">
        <w:r w:rsidDel="00000000" w:rsidR="00000000" w:rsidRPr="00000000">
          <w:rPr>
            <w:rFonts w:ascii="Cambria" w:cs="Cambria" w:eastAsia="Cambria" w:hAnsi="Cambria"/>
            <w:color w:val="0563c1"/>
            <w:sz w:val="24"/>
            <w:szCs w:val="24"/>
            <w:u w:val="single"/>
            <w:rtl w:val="0"/>
          </w:rPr>
          <w:t xml:space="preserve">Https://Ejournal.Iainkendari.Ac.Id/Al-</w:t>
        </w:r>
      </w:hyperlink>
      <w:r w:rsidDel="00000000" w:rsidR="00000000" w:rsidRPr="00000000">
        <w:rPr>
          <w:rtl w:val="0"/>
        </w:rPr>
      </w:r>
    </w:p>
    <w:p w:rsidR="00000000" w:rsidDel="00000000" w:rsidP="00000000" w:rsidRDefault="00000000" w:rsidRPr="00000000" w14:paraId="0000005C">
      <w:pPr>
        <w:spacing w:after="240" w:line="276" w:lineRule="auto"/>
        <w:ind w:left="360" w:firstLine="20"/>
        <w:jc w:val="both"/>
        <w:rPr>
          <w:rFonts w:ascii="Cambria" w:cs="Cambria" w:eastAsia="Cambria" w:hAnsi="Cambria"/>
          <w:sz w:val="24"/>
          <w:szCs w:val="24"/>
          <w:u w:val="single"/>
        </w:rPr>
      </w:pPr>
      <w:r w:rsidDel="00000000" w:rsidR="00000000" w:rsidRPr="00000000">
        <w:rPr>
          <w:rFonts w:ascii="Cambria" w:cs="Cambria" w:eastAsia="Cambria" w:hAnsi="Cambria"/>
          <w:sz w:val="24"/>
          <w:szCs w:val="24"/>
          <w:rtl w:val="0"/>
        </w:rPr>
        <w:t xml:space="preserve">Munzir/Article/View/1118%0a</w:t>
      </w:r>
      <w:hyperlink r:id="rId10">
        <w:r w:rsidDel="00000000" w:rsidR="00000000" w:rsidRPr="00000000">
          <w:rPr>
            <w:rFonts w:ascii="Cambria" w:cs="Cambria" w:eastAsia="Cambria" w:hAnsi="Cambria"/>
            <w:color w:val="0563c1"/>
            <w:sz w:val="24"/>
            <w:szCs w:val="24"/>
            <w:u w:val="single"/>
            <w:rtl w:val="0"/>
          </w:rPr>
          <w:t xml:space="preserve">https://Ejournal.Iainkendari.Ac.Id/Index.Php/Al-</w:t>
          <w:br w:type="textWrapping"/>
        </w:r>
      </w:hyperlink>
      <w:hyperlink r:id="rId11">
        <w:r w:rsidDel="00000000" w:rsidR="00000000" w:rsidRPr="00000000">
          <w:rPr>
            <w:rFonts w:ascii="Cambria" w:cs="Cambria" w:eastAsia="Cambria" w:hAnsi="Cambria"/>
            <w:sz w:val="24"/>
            <w:szCs w:val="24"/>
            <w:rtl w:val="0"/>
          </w:rPr>
          <w:t xml:space="preserve"> </w:t>
        </w:r>
      </w:hyperlink>
      <w:hyperlink r:id="rId12">
        <w:r w:rsidDel="00000000" w:rsidR="00000000" w:rsidRPr="00000000">
          <w:rPr>
            <w:rFonts w:ascii="Cambria" w:cs="Cambria" w:eastAsia="Cambria" w:hAnsi="Cambria"/>
            <w:sz w:val="24"/>
            <w:szCs w:val="24"/>
            <w:u w:val="single"/>
            <w:rtl w:val="0"/>
          </w:rPr>
          <w:t xml:space="preserve">Munzir/Article/Download/1118/882</w:t>
        </w:r>
      </w:hyperlink>
      <w:r w:rsidDel="00000000" w:rsidR="00000000" w:rsidRPr="00000000">
        <w:rPr>
          <w:rtl w:val="0"/>
        </w:rPr>
      </w:r>
    </w:p>
    <w:p w:rsidR="00000000" w:rsidDel="00000000" w:rsidP="00000000" w:rsidRDefault="00000000" w:rsidRPr="00000000" w14:paraId="0000005D">
      <w:pPr>
        <w:spacing w:after="240" w:before="240" w:line="276" w:lineRule="auto"/>
        <w:ind w:left="840" w:hanging="48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Etistika Yuni Wijaya, Dwi Agus Sudjimat, &amp; Amat Nyoto. (2016). Transformasi Pendidikan Abad</w:t>
        <w:br w:type="textWrapping"/>
        <w:t xml:space="preserve"> 21         </w:t>
        <w:tab/>
        <w:t xml:space="preserve">Sebagai        </w:t>
        <w:tab/>
        <w:t xml:space="preserve">Tuntutan.     </w:t>
        <w:tab/>
      </w:r>
      <w:r w:rsidDel="00000000" w:rsidR="00000000" w:rsidRPr="00000000">
        <w:rPr>
          <w:rFonts w:ascii="Cambria" w:cs="Cambria" w:eastAsia="Cambria" w:hAnsi="Cambria"/>
          <w:i w:val="1"/>
          <w:sz w:val="24"/>
          <w:szCs w:val="24"/>
          <w:rtl w:val="0"/>
        </w:rPr>
        <w:t xml:space="preserve">Jurnal</w:t>
      </w:r>
      <w:r w:rsidDel="00000000" w:rsidR="00000000" w:rsidRPr="00000000">
        <w:rPr>
          <w:rFonts w:ascii="Cambria" w:cs="Cambria" w:eastAsia="Cambria" w:hAnsi="Cambria"/>
          <w:sz w:val="24"/>
          <w:szCs w:val="24"/>
          <w:rtl w:val="0"/>
        </w:rPr>
        <w:t xml:space="preserve">       </w:t>
        <w:tab/>
      </w:r>
      <w:r w:rsidDel="00000000" w:rsidR="00000000" w:rsidRPr="00000000">
        <w:rPr>
          <w:rFonts w:ascii="Cambria" w:cs="Cambria" w:eastAsia="Cambria" w:hAnsi="Cambria"/>
          <w:i w:val="1"/>
          <w:sz w:val="24"/>
          <w:szCs w:val="24"/>
          <w:rtl w:val="0"/>
        </w:rPr>
        <w:t xml:space="preserve">Pendidikan</w:t>
      </w:r>
      <w:r w:rsidDel="00000000" w:rsidR="00000000" w:rsidRPr="00000000">
        <w:rPr>
          <w:rFonts w:ascii="Cambria" w:cs="Cambria" w:eastAsia="Cambria" w:hAnsi="Cambria"/>
          <w:sz w:val="24"/>
          <w:szCs w:val="24"/>
          <w:rtl w:val="0"/>
        </w:rPr>
        <w:t xml:space="preserve">,         </w:t>
        <w:tab/>
      </w:r>
      <w:r w:rsidDel="00000000" w:rsidR="00000000" w:rsidRPr="00000000">
        <w:rPr>
          <w:rFonts w:ascii="Cambria" w:cs="Cambria" w:eastAsia="Cambria" w:hAnsi="Cambria"/>
          <w:i w:val="1"/>
          <w:sz w:val="24"/>
          <w:szCs w:val="24"/>
          <w:rtl w:val="0"/>
        </w:rPr>
        <w:t xml:space="preserve">1</w:t>
      </w:r>
      <w:r w:rsidDel="00000000" w:rsidR="00000000" w:rsidRPr="00000000">
        <w:rPr>
          <w:rFonts w:ascii="Cambria" w:cs="Cambria" w:eastAsia="Cambria" w:hAnsi="Cambria"/>
          <w:sz w:val="24"/>
          <w:szCs w:val="24"/>
          <w:rtl w:val="0"/>
        </w:rPr>
        <w:t xml:space="preserve">,     </w:t>
        <w:tab/>
        <w:t xml:space="preserve">263-278.</w:t>
      </w:r>
    </w:p>
    <w:p w:rsidR="00000000" w:rsidDel="00000000" w:rsidP="00000000" w:rsidRDefault="00000000" w:rsidRPr="00000000" w14:paraId="0000005E">
      <w:pPr>
        <w:spacing w:after="240" w:line="276" w:lineRule="auto"/>
        <w:ind w:left="360" w:firstLine="20"/>
        <w:jc w:val="both"/>
        <w:rPr>
          <w:rFonts w:ascii="Cambria" w:cs="Cambria" w:eastAsia="Cambria" w:hAnsi="Cambria"/>
          <w:sz w:val="24"/>
          <w:szCs w:val="24"/>
        </w:rPr>
      </w:pPr>
      <w:hyperlink r:id="rId13">
        <w:r w:rsidDel="00000000" w:rsidR="00000000" w:rsidRPr="00000000">
          <w:rPr>
            <w:rFonts w:ascii="Cambria" w:cs="Cambria" w:eastAsia="Cambria" w:hAnsi="Cambria"/>
            <w:color w:val="0563c1"/>
            <w:sz w:val="24"/>
            <w:szCs w:val="24"/>
            <w:u w:val="single"/>
            <w:rtl w:val="0"/>
          </w:rPr>
          <w:t xml:space="preserve">Http://Repository.Unikama.Ac.Id/840/32/263-278</w:t>
        </w:r>
      </w:hyperlink>
      <w:r w:rsidDel="00000000" w:rsidR="00000000" w:rsidRPr="00000000">
        <w:rPr>
          <w:rFonts w:ascii="Cambria" w:cs="Cambria" w:eastAsia="Cambria" w:hAnsi="Cambria"/>
          <w:sz w:val="24"/>
          <w:szCs w:val="24"/>
          <w:rtl w:val="0"/>
        </w:rPr>
        <w:t xml:space="preserve"> Transformasi Pendidikan Abad 21 Sebagai</w:t>
        <w:br w:type="textWrapping"/>
        <w:t xml:space="preserve"> Tuntutan Pengembangan Sumber Daya Manusia Di Era Global .Pdf. Diakses Pada; Hari/Tgl;</w:t>
        <w:br w:type="textWrapping"/>
        <w:t xml:space="preserve"> Sabtu, 3 November 2018. Jam; 00:26, Wib.</w:t>
      </w:r>
    </w:p>
    <w:p w:rsidR="00000000" w:rsidDel="00000000" w:rsidP="00000000" w:rsidRDefault="00000000" w:rsidRPr="00000000" w14:paraId="0000005F">
      <w:pPr>
        <w:spacing w:after="240" w:before="240" w:line="276" w:lineRule="auto"/>
        <w:ind w:left="840" w:hanging="48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Hidayat, M. (2015). Menggagas Kurikulum Pendidikan Inklusif-Multikultural</w:t>
        <w:br w:type="textWrapping"/>
        <w:t xml:space="preserve"> (Opsi Legal Pembelajaran Berbasis Kearifan Lokal Pada Pendidikan Anak Usia Dini (Paud</w:t>
        <w:br w:type="textWrapping"/>
        <w:t xml:space="preserve"> ....                          </w:t>
        <w:tab/>
      </w:r>
      <w:r w:rsidDel="00000000" w:rsidR="00000000" w:rsidRPr="00000000">
        <w:rPr>
          <w:rFonts w:ascii="Cambria" w:cs="Cambria" w:eastAsia="Cambria" w:hAnsi="Cambria"/>
          <w:i w:val="1"/>
          <w:sz w:val="24"/>
          <w:szCs w:val="24"/>
          <w:rtl w:val="0"/>
        </w:rPr>
        <w:t xml:space="preserve">Tazkirah</w:t>
      </w:r>
      <w:r w:rsidDel="00000000" w:rsidR="00000000" w:rsidRPr="00000000">
        <w:rPr>
          <w:rFonts w:ascii="Cambria" w:cs="Cambria" w:eastAsia="Cambria" w:hAnsi="Cambria"/>
          <w:sz w:val="24"/>
          <w:szCs w:val="24"/>
          <w:rtl w:val="0"/>
        </w:rPr>
        <w:t xml:space="preserve">,                    </w:t>
        <w:tab/>
        <w:t xml:space="preserve">272-289.                      </w:t>
        <w:tab/>
        <w:t xml:space="preserve">Https://E-Joumal.Iai-Al-</w:t>
      </w:r>
    </w:p>
    <w:p w:rsidR="00000000" w:rsidDel="00000000" w:rsidP="00000000" w:rsidRDefault="00000000" w:rsidRPr="00000000" w14:paraId="00000060">
      <w:pPr>
        <w:spacing w:after="240" w:line="276" w:lineRule="auto"/>
        <w:ind w:left="360" w:firstLine="48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Azhaar.Ac.Id/Index.Php/Tazkiroh/Article/View/345</w:t>
      </w:r>
    </w:p>
    <w:p w:rsidR="00000000" w:rsidDel="00000000" w:rsidP="00000000" w:rsidRDefault="00000000" w:rsidRPr="00000000" w14:paraId="00000061">
      <w:pPr>
        <w:spacing w:after="240" w:before="240" w:line="276" w:lineRule="auto"/>
        <w:ind w:left="840" w:hanging="48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Ismaniati, C. (2013). </w:t>
      </w:r>
      <w:r w:rsidDel="00000000" w:rsidR="00000000" w:rsidRPr="00000000">
        <w:rPr>
          <w:rFonts w:ascii="Cambria" w:cs="Cambria" w:eastAsia="Cambria" w:hAnsi="Cambria"/>
          <w:i w:val="1"/>
          <w:sz w:val="24"/>
          <w:szCs w:val="24"/>
          <w:rtl w:val="0"/>
        </w:rPr>
        <w:t xml:space="preserve">Penggunaan Teknologi Informasi Dan Komunikasi Dalam Peningkatan</w:t>
        <w:br w:type="textWrapping"/>
        <w:t xml:space="preserve"> Kualitas Pembelajaran</w:t>
      </w:r>
      <w:r w:rsidDel="00000000" w:rsidR="00000000" w:rsidRPr="00000000">
        <w:rPr>
          <w:rFonts w:ascii="Cambria" w:cs="Cambria" w:eastAsia="Cambria" w:hAnsi="Cambria"/>
          <w:sz w:val="24"/>
          <w:szCs w:val="24"/>
          <w:rtl w:val="0"/>
        </w:rPr>
        <w:t xml:space="preserve">. </w:t>
        <w:tab/>
        <w:t xml:space="preserve">15.</w:t>
      </w:r>
      <w:hyperlink r:id="rId14">
        <w:r w:rsidDel="00000000" w:rsidR="00000000" w:rsidRPr="00000000">
          <w:rPr>
            <w:rFonts w:ascii="Cambria" w:cs="Cambria" w:eastAsia="Cambria" w:hAnsi="Cambria"/>
            <w:sz w:val="24"/>
            <w:szCs w:val="24"/>
            <w:rtl w:val="0"/>
          </w:rPr>
          <w:t xml:space="preserve"> </w:t>
        </w:r>
      </w:hyperlink>
      <w:hyperlink r:id="rId15">
        <w:r w:rsidDel="00000000" w:rsidR="00000000" w:rsidRPr="00000000">
          <w:rPr>
            <w:rFonts w:ascii="Cambria" w:cs="Cambria" w:eastAsia="Cambria" w:hAnsi="Cambria"/>
            <w:color w:val="0563c1"/>
            <w:sz w:val="24"/>
            <w:szCs w:val="24"/>
            <w:u w:val="single"/>
            <w:rtl w:val="0"/>
          </w:rPr>
          <w:t xml:space="preserve">Http://Staff.Uny.Ac.Id/Sites/Default/Files/Penelitian/Dr</w:t>
        </w:r>
      </w:hyperlink>
      <w:r w:rsidDel="00000000" w:rsidR="00000000" w:rsidRPr="00000000">
        <w:rPr>
          <w:rFonts w:ascii="Cambria" w:cs="Cambria" w:eastAsia="Cambria" w:hAnsi="Cambria"/>
          <w:sz w:val="24"/>
          <w:szCs w:val="24"/>
          <w:rtl w:val="0"/>
        </w:rPr>
        <w:t xml:space="preserve">. Christina</w:t>
      </w:r>
    </w:p>
    <w:p w:rsidR="00000000" w:rsidDel="00000000" w:rsidP="00000000" w:rsidRDefault="00000000" w:rsidRPr="00000000" w14:paraId="00000062">
      <w:pPr>
        <w:spacing w:after="240" w:line="276" w:lineRule="auto"/>
        <w:ind w:left="360" w:firstLine="2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Ismaniati, M.Pd./Penggunaan Teknologi Informasi Dan Komunikasi Dalam Peningkatan</w:t>
        <w:br w:type="textWrapping"/>
        <w:t xml:space="preserve"> Kualitas Pembelajaran.Pdf</w:t>
      </w:r>
    </w:p>
    <w:p w:rsidR="00000000" w:rsidDel="00000000" w:rsidP="00000000" w:rsidRDefault="00000000" w:rsidRPr="00000000" w14:paraId="00000063">
      <w:pPr>
        <w:spacing w:after="240" w:before="240" w:line="276" w:lineRule="auto"/>
        <w:ind w:left="840" w:hanging="48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Jiyanto, J., &amp; Efendi, A. E. (2016). Implementasi Pendidikan Multikultural Di Madrasah Inklusi</w:t>
        <w:br w:type="textWrapping"/>
        <w:t xml:space="preserve"> Madrasah Aliyah   </w:t>
        <w:tab/>
        <w:t xml:space="preserve">Negeri Maguwoharjo Yogyakarta. </w:t>
        <w:tab/>
      </w:r>
      <w:r w:rsidDel="00000000" w:rsidR="00000000" w:rsidRPr="00000000">
        <w:rPr>
          <w:rFonts w:ascii="Cambria" w:cs="Cambria" w:eastAsia="Cambria" w:hAnsi="Cambria"/>
          <w:i w:val="1"/>
          <w:sz w:val="24"/>
          <w:szCs w:val="24"/>
          <w:rtl w:val="0"/>
        </w:rPr>
        <w:t xml:space="preserve">Jurnal Penelitian</w:t>
      </w:r>
      <w:r w:rsidDel="00000000" w:rsidR="00000000" w:rsidRPr="00000000">
        <w:rPr>
          <w:rFonts w:ascii="Cambria" w:cs="Cambria" w:eastAsia="Cambria" w:hAnsi="Cambria"/>
          <w:sz w:val="24"/>
          <w:szCs w:val="24"/>
          <w:rtl w:val="0"/>
        </w:rPr>
        <w:t xml:space="preserve">,   </w:t>
        <w:tab/>
      </w:r>
      <w:r w:rsidDel="00000000" w:rsidR="00000000" w:rsidRPr="00000000">
        <w:rPr>
          <w:rFonts w:ascii="Cambria" w:cs="Cambria" w:eastAsia="Cambria" w:hAnsi="Cambria"/>
          <w:i w:val="1"/>
          <w:sz w:val="24"/>
          <w:szCs w:val="24"/>
          <w:rtl w:val="0"/>
        </w:rPr>
        <w:t xml:space="preserve">10</w:t>
      </w:r>
      <w:r w:rsidDel="00000000" w:rsidR="00000000" w:rsidRPr="00000000">
        <w:rPr>
          <w:rFonts w:ascii="Cambria" w:cs="Cambria" w:eastAsia="Cambria" w:hAnsi="Cambria"/>
          <w:sz w:val="24"/>
          <w:szCs w:val="24"/>
          <w:rtl w:val="0"/>
        </w:rPr>
        <w:t xml:space="preserve">(1), 25.</w:t>
      </w:r>
    </w:p>
    <w:p w:rsidR="00000000" w:rsidDel="00000000" w:rsidP="00000000" w:rsidRDefault="00000000" w:rsidRPr="00000000" w14:paraId="00000064">
      <w:pPr>
        <w:spacing w:after="240" w:line="276" w:lineRule="auto"/>
        <w:ind w:left="360" w:firstLine="480"/>
        <w:jc w:val="both"/>
        <w:rPr>
          <w:rFonts w:ascii="Cambria" w:cs="Cambria" w:eastAsia="Cambria" w:hAnsi="Cambria"/>
          <w:color w:val="0563c1"/>
          <w:sz w:val="24"/>
          <w:szCs w:val="24"/>
          <w:u w:val="single"/>
        </w:rPr>
      </w:pPr>
      <w:hyperlink r:id="rId16">
        <w:r w:rsidDel="00000000" w:rsidR="00000000" w:rsidRPr="00000000">
          <w:rPr>
            <w:rFonts w:ascii="Cambria" w:cs="Cambria" w:eastAsia="Cambria" w:hAnsi="Cambria"/>
            <w:color w:val="0563c1"/>
            <w:sz w:val="24"/>
            <w:szCs w:val="24"/>
            <w:u w:val="single"/>
            <w:rtl w:val="0"/>
          </w:rPr>
          <w:t xml:space="preserve">Https://Doi.Org/10.21043/Jupe.V10i1.1366</w:t>
        </w:r>
      </w:hyperlink>
      <w:r w:rsidDel="00000000" w:rsidR="00000000" w:rsidRPr="00000000">
        <w:rPr>
          <w:rtl w:val="0"/>
        </w:rPr>
      </w:r>
    </w:p>
    <w:p w:rsidR="00000000" w:rsidDel="00000000" w:rsidP="00000000" w:rsidRDefault="00000000" w:rsidRPr="00000000" w14:paraId="00000065">
      <w:pPr>
        <w:spacing w:after="240" w:line="276" w:lineRule="auto"/>
        <w:ind w:left="840" w:hanging="480"/>
        <w:jc w:val="both"/>
        <w:rPr>
          <w:rFonts w:ascii="Cambria" w:cs="Cambria" w:eastAsia="Cambria" w:hAnsi="Cambria"/>
          <w:color w:val="0563c1"/>
          <w:sz w:val="24"/>
          <w:szCs w:val="24"/>
          <w:u w:val="single"/>
        </w:rPr>
      </w:pPr>
      <w:r w:rsidDel="00000000" w:rsidR="00000000" w:rsidRPr="00000000">
        <w:rPr>
          <w:rFonts w:ascii="Cambria" w:cs="Cambria" w:eastAsia="Cambria" w:hAnsi="Cambria"/>
          <w:sz w:val="24"/>
          <w:szCs w:val="24"/>
          <w:rtl w:val="0"/>
        </w:rPr>
        <w:t xml:space="preserve">Kadarisman, M. (2017). Tantangan Perguruan Tinggi Dalam Era Persaingan Global. </w:t>
      </w:r>
      <w:r w:rsidDel="00000000" w:rsidR="00000000" w:rsidRPr="00000000">
        <w:rPr>
          <w:rFonts w:ascii="Cambria" w:cs="Cambria" w:eastAsia="Cambria" w:hAnsi="Cambria"/>
          <w:i w:val="1"/>
          <w:sz w:val="24"/>
          <w:szCs w:val="24"/>
          <w:rtl w:val="0"/>
        </w:rPr>
        <w:t xml:space="preserve">Sociae</w:t>
        <w:br w:type="textWrapping"/>
        <w:t xml:space="preserve"> Polites</w:t>
      </w:r>
      <w:r w:rsidDel="00000000" w:rsidR="00000000" w:rsidRPr="00000000">
        <w:rPr>
          <w:rFonts w:ascii="Cambria" w:cs="Cambria" w:eastAsia="Cambria" w:hAnsi="Cambria"/>
          <w:sz w:val="24"/>
          <w:szCs w:val="24"/>
          <w:rtl w:val="0"/>
        </w:rPr>
        <w:t xml:space="preserve">, 3-20.</w:t>
      </w:r>
      <w:hyperlink r:id="rId17">
        <w:r w:rsidDel="00000000" w:rsidR="00000000" w:rsidRPr="00000000">
          <w:rPr>
            <w:rFonts w:ascii="Cambria" w:cs="Cambria" w:eastAsia="Cambria" w:hAnsi="Cambria"/>
            <w:sz w:val="24"/>
            <w:szCs w:val="24"/>
            <w:rtl w:val="0"/>
          </w:rPr>
          <w:t xml:space="preserve"> </w:t>
        </w:r>
      </w:hyperlink>
      <w:hyperlink r:id="rId18">
        <w:r w:rsidDel="00000000" w:rsidR="00000000" w:rsidRPr="00000000">
          <w:rPr>
            <w:rFonts w:ascii="Cambria" w:cs="Cambria" w:eastAsia="Cambria" w:hAnsi="Cambria"/>
            <w:color w:val="0563c1"/>
            <w:sz w:val="24"/>
            <w:szCs w:val="24"/>
            <w:u w:val="single"/>
            <w:rtl w:val="0"/>
          </w:rPr>
          <w:t xml:space="preserve">Https://Doi.Org/10.33541/Sp.V1i1.459</w:t>
        </w:r>
      </w:hyperlink>
      <w:r w:rsidDel="00000000" w:rsidR="00000000" w:rsidRPr="00000000">
        <w:rPr>
          <w:rtl w:val="0"/>
        </w:rPr>
      </w:r>
    </w:p>
    <w:p w:rsidR="00000000" w:rsidDel="00000000" w:rsidP="00000000" w:rsidRDefault="00000000" w:rsidRPr="00000000" w14:paraId="00000066">
      <w:pPr>
        <w:spacing w:after="240" w:before="240" w:line="276" w:lineRule="auto"/>
        <w:ind w:left="840" w:hanging="48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Maulani, A. (2013). Tranformasi Learning Dalam Pendidikan Multikultural Keberagaman. </w:t>
      </w:r>
      <w:r w:rsidDel="00000000" w:rsidR="00000000" w:rsidRPr="00000000">
        <w:rPr>
          <w:rFonts w:ascii="Cambria" w:cs="Cambria" w:eastAsia="Cambria" w:hAnsi="Cambria"/>
          <w:i w:val="1"/>
          <w:sz w:val="24"/>
          <w:szCs w:val="24"/>
          <w:rtl w:val="0"/>
        </w:rPr>
        <w:t xml:space="preserve">Jurnal</w:t>
        <w:br w:type="textWrapping"/>
        <w:t xml:space="preserve"> Pembangunan</w:t>
      </w:r>
      <w:r w:rsidDel="00000000" w:rsidR="00000000" w:rsidRPr="00000000">
        <w:rPr>
          <w:rFonts w:ascii="Cambria" w:cs="Cambria" w:eastAsia="Cambria" w:hAnsi="Cambria"/>
          <w:sz w:val="24"/>
          <w:szCs w:val="24"/>
          <w:rtl w:val="0"/>
        </w:rPr>
        <w:t xml:space="preserve">     </w:t>
        <w:tab/>
      </w:r>
      <w:r w:rsidDel="00000000" w:rsidR="00000000" w:rsidRPr="00000000">
        <w:rPr>
          <w:rFonts w:ascii="Cambria" w:cs="Cambria" w:eastAsia="Cambria" w:hAnsi="Cambria"/>
          <w:i w:val="1"/>
          <w:sz w:val="24"/>
          <w:szCs w:val="24"/>
          <w:rtl w:val="0"/>
        </w:rPr>
        <w:t xml:space="preserve">Pendidikan:</w:t>
      </w:r>
      <w:r w:rsidDel="00000000" w:rsidR="00000000" w:rsidRPr="00000000">
        <w:rPr>
          <w:rFonts w:ascii="Cambria" w:cs="Cambria" w:eastAsia="Cambria" w:hAnsi="Cambria"/>
          <w:sz w:val="24"/>
          <w:szCs w:val="24"/>
          <w:rtl w:val="0"/>
        </w:rPr>
        <w:t xml:space="preserve">      </w:t>
        <w:tab/>
      </w:r>
      <w:r w:rsidDel="00000000" w:rsidR="00000000" w:rsidRPr="00000000">
        <w:rPr>
          <w:rFonts w:ascii="Cambria" w:cs="Cambria" w:eastAsia="Cambria" w:hAnsi="Cambria"/>
          <w:i w:val="1"/>
          <w:sz w:val="24"/>
          <w:szCs w:val="24"/>
          <w:rtl w:val="0"/>
        </w:rPr>
        <w:t xml:space="preserve">Fondasi</w:t>
      </w:r>
      <w:r w:rsidDel="00000000" w:rsidR="00000000" w:rsidRPr="00000000">
        <w:rPr>
          <w:rFonts w:ascii="Cambria" w:cs="Cambria" w:eastAsia="Cambria" w:hAnsi="Cambria"/>
          <w:sz w:val="24"/>
          <w:szCs w:val="24"/>
          <w:rtl w:val="0"/>
        </w:rPr>
        <w:t xml:space="preserve">     </w:t>
        <w:tab/>
      </w:r>
      <w:r w:rsidDel="00000000" w:rsidR="00000000" w:rsidRPr="00000000">
        <w:rPr>
          <w:rFonts w:ascii="Cambria" w:cs="Cambria" w:eastAsia="Cambria" w:hAnsi="Cambria"/>
          <w:i w:val="1"/>
          <w:sz w:val="24"/>
          <w:szCs w:val="24"/>
          <w:rtl w:val="0"/>
        </w:rPr>
        <w:t xml:space="preserve">Dan</w:t>
      </w:r>
      <w:r w:rsidDel="00000000" w:rsidR="00000000" w:rsidRPr="00000000">
        <w:rPr>
          <w:rFonts w:ascii="Cambria" w:cs="Cambria" w:eastAsia="Cambria" w:hAnsi="Cambria"/>
          <w:sz w:val="24"/>
          <w:szCs w:val="24"/>
          <w:rtl w:val="0"/>
        </w:rPr>
        <w:t xml:space="preserve">   </w:t>
        <w:tab/>
      </w:r>
      <w:r w:rsidDel="00000000" w:rsidR="00000000" w:rsidRPr="00000000">
        <w:rPr>
          <w:rFonts w:ascii="Cambria" w:cs="Cambria" w:eastAsia="Cambria" w:hAnsi="Cambria"/>
          <w:i w:val="1"/>
          <w:sz w:val="24"/>
          <w:szCs w:val="24"/>
          <w:rtl w:val="0"/>
        </w:rPr>
        <w:t xml:space="preserve">Aplikasi</w:t>
      </w:r>
      <w:r w:rsidDel="00000000" w:rsidR="00000000" w:rsidRPr="00000000">
        <w:rPr>
          <w:rFonts w:ascii="Cambria" w:cs="Cambria" w:eastAsia="Cambria" w:hAnsi="Cambria"/>
          <w:sz w:val="24"/>
          <w:szCs w:val="24"/>
          <w:rtl w:val="0"/>
        </w:rPr>
        <w:t xml:space="preserve">,       </w:t>
        <w:tab/>
      </w:r>
      <w:r w:rsidDel="00000000" w:rsidR="00000000" w:rsidRPr="00000000">
        <w:rPr>
          <w:rFonts w:ascii="Cambria" w:cs="Cambria" w:eastAsia="Cambria" w:hAnsi="Cambria"/>
          <w:i w:val="1"/>
          <w:sz w:val="24"/>
          <w:szCs w:val="24"/>
          <w:rtl w:val="0"/>
        </w:rPr>
        <w:t xml:space="preserve">1</w:t>
      </w:r>
      <w:r w:rsidDel="00000000" w:rsidR="00000000" w:rsidRPr="00000000">
        <w:rPr>
          <w:rFonts w:ascii="Cambria" w:cs="Cambria" w:eastAsia="Cambria" w:hAnsi="Cambria"/>
          <w:sz w:val="24"/>
          <w:szCs w:val="24"/>
          <w:rtl w:val="0"/>
        </w:rPr>
        <w:t xml:space="preserve">(1),    </w:t>
        <w:tab/>
        <w:t xml:space="preserve">29-44.</w:t>
      </w:r>
    </w:p>
    <w:p w:rsidR="00000000" w:rsidDel="00000000" w:rsidP="00000000" w:rsidRDefault="00000000" w:rsidRPr="00000000" w14:paraId="00000067">
      <w:pPr>
        <w:spacing w:after="240" w:line="276" w:lineRule="auto"/>
        <w:ind w:left="360" w:firstLine="480"/>
        <w:jc w:val="both"/>
        <w:rPr>
          <w:rFonts w:ascii="Cambria" w:cs="Cambria" w:eastAsia="Cambria" w:hAnsi="Cambria"/>
          <w:color w:val="0563c1"/>
          <w:sz w:val="24"/>
          <w:szCs w:val="24"/>
          <w:u w:val="single"/>
        </w:rPr>
      </w:pPr>
      <w:hyperlink r:id="rId19">
        <w:r w:rsidDel="00000000" w:rsidR="00000000" w:rsidRPr="00000000">
          <w:rPr>
            <w:rFonts w:ascii="Cambria" w:cs="Cambria" w:eastAsia="Cambria" w:hAnsi="Cambria"/>
            <w:color w:val="0563c1"/>
            <w:sz w:val="24"/>
            <w:szCs w:val="24"/>
            <w:u w:val="single"/>
            <w:rtl w:val="0"/>
          </w:rPr>
          <w:t xml:space="preserve">Https://Doi.Org/10.21831/Jppfa.V1i1.1049</w:t>
        </w:r>
      </w:hyperlink>
      <w:r w:rsidDel="00000000" w:rsidR="00000000" w:rsidRPr="00000000">
        <w:rPr>
          <w:rtl w:val="0"/>
        </w:rPr>
      </w:r>
    </w:p>
    <w:p w:rsidR="00000000" w:rsidDel="00000000" w:rsidP="00000000" w:rsidRDefault="00000000" w:rsidRPr="00000000" w14:paraId="00000068">
      <w:pPr>
        <w:spacing w:after="240" w:line="276" w:lineRule="auto"/>
        <w:ind w:left="840" w:hanging="48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Oo, S., Iriantara, Y., &amp; Handayani, S. (2022). Ancaman Ataupeluang Globalisasi Pendidikan</w:t>
        <w:br w:type="textWrapping"/>
        <w:t xml:space="preserve"> Dalamperubahan Kebijakan Pendidikan. </w:t>
      </w:r>
      <w:r w:rsidDel="00000000" w:rsidR="00000000" w:rsidRPr="00000000">
        <w:rPr>
          <w:rFonts w:ascii="Cambria" w:cs="Cambria" w:eastAsia="Cambria" w:hAnsi="Cambria"/>
          <w:i w:val="1"/>
          <w:sz w:val="24"/>
          <w:szCs w:val="24"/>
          <w:rtl w:val="0"/>
        </w:rPr>
        <w:t xml:space="preserve">As-Salam Jurnal Ilmiah Ilmu-Ilmukeislaman</w:t>
      </w:r>
      <w:r w:rsidDel="00000000" w:rsidR="00000000" w:rsidRPr="00000000">
        <w:rPr>
          <w:rFonts w:ascii="Cambria" w:cs="Cambria" w:eastAsia="Cambria" w:hAnsi="Cambria"/>
          <w:sz w:val="24"/>
          <w:szCs w:val="24"/>
          <w:rtl w:val="0"/>
        </w:rPr>
        <w:t xml:space="preserve">, </w:t>
      </w:r>
      <w:r w:rsidDel="00000000" w:rsidR="00000000" w:rsidRPr="00000000">
        <w:rPr>
          <w:rFonts w:ascii="Cambria" w:cs="Cambria" w:eastAsia="Cambria" w:hAnsi="Cambria"/>
          <w:i w:val="1"/>
          <w:sz w:val="24"/>
          <w:szCs w:val="24"/>
          <w:rtl w:val="0"/>
        </w:rPr>
        <w:t xml:space="preserve">7</w:t>
      </w:r>
      <w:r w:rsidDel="00000000" w:rsidR="00000000" w:rsidRPr="00000000">
        <w:rPr>
          <w:rFonts w:ascii="Cambria" w:cs="Cambria" w:eastAsia="Cambria" w:hAnsi="Cambria"/>
          <w:sz w:val="24"/>
          <w:szCs w:val="24"/>
          <w:rtl w:val="0"/>
        </w:rPr>
        <w:t xml:space="preserve">(1),</w:t>
        <w:br w:type="textWrapping"/>
        <w:t xml:space="preserve"> 14-24.</w:t>
      </w:r>
    </w:p>
    <w:p w:rsidR="00000000" w:rsidDel="00000000" w:rsidP="00000000" w:rsidRDefault="00000000" w:rsidRPr="00000000" w14:paraId="00000069">
      <w:pPr>
        <w:spacing w:after="240" w:line="276" w:lineRule="auto"/>
        <w:ind w:left="840" w:hanging="48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Rahdiyanta, D. (2003). Kurikulum Berbasisi Kompetensi (Kbk) Pengertian Dan Konsep Kbk.</w:t>
        <w:br w:type="textWrapping"/>
        <w:t xml:space="preserve"> </w:t>
      </w:r>
      <w:r w:rsidDel="00000000" w:rsidR="00000000" w:rsidRPr="00000000">
        <w:rPr>
          <w:rFonts w:ascii="Cambria" w:cs="Cambria" w:eastAsia="Cambria" w:hAnsi="Cambria"/>
          <w:i w:val="1"/>
          <w:sz w:val="24"/>
          <w:szCs w:val="24"/>
          <w:rtl w:val="0"/>
        </w:rPr>
        <w:t xml:space="preserve">Seminar Nasional Implementasi Kbk Di Ft Uny</w:t>
      </w:r>
      <w:r w:rsidDel="00000000" w:rsidR="00000000" w:rsidRPr="00000000">
        <w:rPr>
          <w:rFonts w:ascii="Cambria" w:cs="Cambria" w:eastAsia="Cambria" w:hAnsi="Cambria"/>
          <w:sz w:val="24"/>
          <w:szCs w:val="24"/>
          <w:rtl w:val="0"/>
        </w:rPr>
        <w:t xml:space="preserve">, 1-10.</w:t>
      </w:r>
    </w:p>
    <w:p w:rsidR="00000000" w:rsidDel="00000000" w:rsidP="00000000" w:rsidRDefault="00000000" w:rsidRPr="00000000" w14:paraId="0000006A">
      <w:pPr>
        <w:spacing w:after="240" w:before="240" w:line="276" w:lineRule="auto"/>
        <w:ind w:left="840" w:hanging="480"/>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Saodah, A, Mini, Q., Rizkyah, K., Nuralviah, S., &amp; Urfany, N. (2020). Pengaruh Globalisasi</w:t>
        <w:br w:type="textWrapping"/>
        <w:t xml:space="preserve"> Terhadap Siswa Sekolah Dasar. </w:t>
      </w:r>
      <w:r w:rsidDel="00000000" w:rsidR="00000000" w:rsidRPr="00000000">
        <w:rPr>
          <w:rFonts w:ascii="Cambria" w:cs="Cambria" w:eastAsia="Cambria" w:hAnsi="Cambria"/>
          <w:i w:val="1"/>
          <w:sz w:val="24"/>
          <w:szCs w:val="24"/>
          <w:rtl w:val="0"/>
        </w:rPr>
        <w:t xml:space="preserve">Jurnal Pendidikan Dan Dakwah</w:t>
      </w:r>
      <w:r w:rsidDel="00000000" w:rsidR="00000000" w:rsidRPr="00000000">
        <w:rPr>
          <w:rFonts w:ascii="Cambria" w:cs="Cambria" w:eastAsia="Cambria" w:hAnsi="Cambria"/>
          <w:sz w:val="24"/>
          <w:szCs w:val="24"/>
          <w:rtl w:val="0"/>
        </w:rPr>
        <w:t xml:space="preserve">,             </w:t>
        <w:tab/>
      </w:r>
      <w:r w:rsidDel="00000000" w:rsidR="00000000" w:rsidRPr="00000000">
        <w:rPr>
          <w:rFonts w:ascii="Cambria" w:cs="Cambria" w:eastAsia="Cambria" w:hAnsi="Cambria"/>
          <w:i w:val="1"/>
          <w:sz w:val="24"/>
          <w:szCs w:val="24"/>
          <w:rtl w:val="0"/>
        </w:rPr>
        <w:t xml:space="preserve">2</w:t>
      </w:r>
      <w:r w:rsidDel="00000000" w:rsidR="00000000" w:rsidRPr="00000000">
        <w:rPr>
          <w:rFonts w:ascii="Cambria" w:cs="Cambria" w:eastAsia="Cambria" w:hAnsi="Cambria"/>
          <w:sz w:val="24"/>
          <w:szCs w:val="24"/>
          <w:rtl w:val="0"/>
        </w:rPr>
        <w:t xml:space="preserve">(3),  375-385.</w:t>
      </w:r>
    </w:p>
    <w:p w:rsidR="00000000" w:rsidDel="00000000" w:rsidP="00000000" w:rsidRDefault="00000000" w:rsidRPr="00000000" w14:paraId="0000006B">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sz w:val="24"/>
          <w:szCs w:val="24"/>
        </w:rPr>
      </w:pPr>
      <w:hyperlink r:id="rId20">
        <w:r w:rsidDel="00000000" w:rsidR="00000000" w:rsidRPr="00000000">
          <w:rPr>
            <w:rFonts w:ascii="Cambria" w:cs="Cambria" w:eastAsia="Cambria" w:hAnsi="Cambria"/>
            <w:color w:val="0563c1"/>
            <w:sz w:val="24"/>
            <w:szCs w:val="24"/>
            <w:u w:val="single"/>
            <w:rtl w:val="0"/>
          </w:rPr>
          <w:t xml:space="preserve">Https://Ejournal.Stitpn.Ac.Id/Index.Php/Pandawa</w:t>
        </w:r>
      </w:hyperlink>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spacing w:after="0" w:line="240" w:lineRule="auto"/>
        <w:ind w:left="360" w:firstLine="360"/>
        <w:jc w:val="both"/>
        <w:rPr>
          <w:rFonts w:ascii="Cambria" w:cs="Cambria" w:eastAsia="Cambria" w:hAnsi="Cambria"/>
          <w:color w:val="000000"/>
          <w:sz w:val="24"/>
          <w:szCs w:val="24"/>
        </w:rPr>
      </w:pPr>
      <w:r w:rsidDel="00000000" w:rsidR="00000000" w:rsidRPr="00000000">
        <w:rPr>
          <w:rtl w:val="0"/>
        </w:rPr>
      </w:r>
    </w:p>
    <w:sectPr>
      <w:headerReference r:id="rId21" w:type="default"/>
      <w:footerReference r:id="rId22" w:type="default"/>
      <w:pgSz w:h="16838" w:w="11906" w:orient="portrait"/>
      <w:pgMar w:bottom="1134" w:top="1701"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Bookman Old Style"/>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7">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jc w:val="center"/>
      <w:rPr>
        <w:rFonts w:ascii="Bookman Old Style" w:cs="Bookman Old Style" w:eastAsia="Bookman Old Style" w:hAnsi="Bookman Old Style"/>
        <w:color w:val="000000"/>
        <w:sz w:val="24"/>
        <w:szCs w:val="24"/>
      </w:rPr>
    </w:pPr>
    <w:r w:rsidDel="00000000" w:rsidR="00000000" w:rsidRPr="00000000">
      <w:rPr>
        <w:rFonts w:ascii="Bookman Old Style" w:cs="Bookman Old Style" w:eastAsia="Bookman Old Style" w:hAnsi="Bookman Old Style"/>
        <w:color w:val="000000"/>
        <w:sz w:val="24"/>
        <w:szCs w:val="24"/>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D">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center"/>
      <w:rPr>
        <w:rFonts w:ascii="Cambria" w:cs="Cambria" w:eastAsia="Cambria" w:hAnsi="Cambria"/>
        <w:b w:val="1"/>
        <w:color w:val="000000"/>
        <w:sz w:val="24"/>
        <w:szCs w:val="24"/>
      </w:rPr>
    </w:pPr>
    <w:r w:rsidDel="00000000" w:rsidR="00000000" w:rsidRPr="00000000">
      <w:rPr/>
      <w:drawing>
        <wp:inline distB="0" distT="0" distL="0" distR="0">
          <wp:extent cx="6120130" cy="741045"/>
          <wp:effectExtent b="0" l="0" r="0" t="0"/>
          <wp:docPr id="1462456857"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6120130" cy="741045"/>
                  </a:xfrm>
                  <a:prstGeom prst="rect"/>
                  <a:ln/>
                </pic:spPr>
              </pic:pic>
            </a:graphicData>
          </a:graphic>
        </wp:inline>
      </w:drawing>
    </w:r>
    <w:r w:rsidDel="00000000" w:rsidR="00000000" w:rsidRPr="00000000">
      <w:rPr>
        <w:rtl w:val="0"/>
      </w:rPr>
    </w:r>
  </w:p>
  <w:tbl>
    <w:tblPr>
      <w:tblStyle w:val="Table2"/>
      <w:tblW w:w="963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962"/>
      <w:gridCol w:w="4677"/>
      <w:tblGridChange w:id="0">
        <w:tblGrid>
          <w:gridCol w:w="4962"/>
          <w:gridCol w:w="4677"/>
        </w:tblGrid>
      </w:tblGridChange>
    </w:tblGrid>
    <w:tr>
      <w:trPr>
        <w:cantSplit w:val="0"/>
        <w:tblHeader w:val="0"/>
      </w:trPr>
      <w:tc>
        <w:tcPr/>
        <w:p w:rsidR="00000000" w:rsidDel="00000000" w:rsidP="00000000" w:rsidRDefault="00000000" w:rsidRPr="00000000" w14:paraId="0000006E">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rPr>
              <w:rFonts w:ascii="Cambria" w:cs="Cambria" w:eastAsia="Cambria" w:hAnsi="Cambria"/>
              <w:color w:val="000000"/>
              <w:sz w:val="16"/>
              <w:szCs w:val="16"/>
            </w:rPr>
          </w:pPr>
          <w:r w:rsidDel="00000000" w:rsidR="00000000" w:rsidRPr="00000000">
            <w:rPr>
              <w:rFonts w:ascii="Cambria" w:cs="Cambria" w:eastAsia="Cambria" w:hAnsi="Cambria"/>
              <w:color w:val="000000"/>
              <w:sz w:val="16"/>
              <w:szCs w:val="16"/>
              <w:rtl w:val="0"/>
            </w:rPr>
            <w:t xml:space="preserve">V</w:t>
          </w:r>
          <w:r w:rsidDel="00000000" w:rsidR="00000000" w:rsidRPr="00000000">
            <w:rPr>
              <w:rFonts w:ascii="Cambria" w:cs="Cambria" w:eastAsia="Cambria" w:hAnsi="Cambria"/>
              <w:sz w:val="16"/>
              <w:szCs w:val="16"/>
              <w:rtl w:val="0"/>
            </w:rPr>
            <w:t xml:space="preserve">ol.xx</w:t>
          </w:r>
          <w:r w:rsidDel="00000000" w:rsidR="00000000" w:rsidRPr="00000000">
            <w:rPr>
              <w:rFonts w:ascii="Cambria" w:cs="Cambria" w:eastAsia="Cambria" w:hAnsi="Cambria"/>
              <w:color w:val="000000"/>
              <w:sz w:val="16"/>
              <w:szCs w:val="16"/>
              <w:rtl w:val="0"/>
            </w:rPr>
            <w:t xml:space="preserve"> </w:t>
          </w:r>
          <w:r w:rsidDel="00000000" w:rsidR="00000000" w:rsidRPr="00000000">
            <w:rPr>
              <w:rFonts w:ascii="Cambria" w:cs="Cambria" w:eastAsia="Cambria" w:hAnsi="Cambria"/>
              <w:sz w:val="16"/>
              <w:szCs w:val="16"/>
              <w:rtl w:val="0"/>
            </w:rPr>
            <w:t xml:space="preserve">No.xx</w:t>
          </w:r>
          <w:r w:rsidDel="00000000" w:rsidR="00000000" w:rsidRPr="00000000">
            <w:rPr>
              <w:rFonts w:ascii="Cambria" w:cs="Cambria" w:eastAsia="Cambria" w:hAnsi="Cambria"/>
              <w:color w:val="000000"/>
              <w:sz w:val="16"/>
              <w:szCs w:val="16"/>
              <w:rtl w:val="0"/>
            </w:rPr>
            <w:t xml:space="preserve"> </w:t>
          </w:r>
          <w:r w:rsidDel="00000000" w:rsidR="00000000" w:rsidRPr="00000000">
            <w:rPr>
              <w:rFonts w:ascii="Cambria" w:cs="Cambria" w:eastAsia="Cambria" w:hAnsi="Cambria"/>
              <w:sz w:val="16"/>
              <w:szCs w:val="16"/>
              <w:rtl w:val="0"/>
            </w:rPr>
            <w:t xml:space="preserve">Bulan</w:t>
          </w:r>
          <w:r w:rsidDel="00000000" w:rsidR="00000000" w:rsidRPr="00000000">
            <w:rPr>
              <w:rFonts w:ascii="Cambria" w:cs="Cambria" w:eastAsia="Cambria" w:hAnsi="Cambria"/>
              <w:color w:val="000000"/>
              <w:sz w:val="16"/>
              <w:szCs w:val="16"/>
              <w:rtl w:val="0"/>
            </w:rPr>
            <w:t xml:space="preserve"> 2024 Hal.xx-xx</w:t>
          </w:r>
        </w:p>
        <w:p w:rsidR="00000000" w:rsidDel="00000000" w:rsidP="00000000" w:rsidRDefault="00000000" w:rsidRPr="00000000" w14:paraId="0000006F">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ISSN</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i w:val="1"/>
              <w:sz w:val="16"/>
              <w:szCs w:val="16"/>
              <w:rtl w:val="0"/>
            </w:rPr>
            <w:t xml:space="preserve">E</w:t>
          </w:r>
          <w:r w:rsidDel="00000000" w:rsidR="00000000" w:rsidRPr="00000000">
            <w:rPr>
              <w:rFonts w:ascii="Cambria" w:cs="Cambria" w:eastAsia="Cambria" w:hAnsi="Cambria"/>
              <w:i w:val="1"/>
              <w:color w:val="000000"/>
              <w:sz w:val="16"/>
              <w:szCs w:val="16"/>
              <w:rtl w:val="0"/>
            </w:rPr>
            <w:t xml:space="preserve">-ISSN</w:t>
          </w:r>
          <w:r w:rsidDel="00000000" w:rsidR="00000000" w:rsidRPr="00000000">
            <w:rPr>
              <w:rFonts w:ascii="Cambria" w:cs="Cambria" w:eastAsia="Cambria" w:hAnsi="Cambria"/>
              <w:color w:val="000000"/>
              <w:sz w:val="16"/>
              <w:szCs w:val="16"/>
              <w:rtl w:val="0"/>
            </w:rPr>
            <w:t xml:space="preserve"> : </w:t>
          </w:r>
          <w:r w:rsidDel="00000000" w:rsidR="00000000" w:rsidRPr="00000000">
            <w:rPr>
              <w:rFonts w:ascii="Cambria" w:cs="Cambria" w:eastAsia="Cambria" w:hAnsi="Cambria"/>
              <w:sz w:val="16"/>
              <w:szCs w:val="16"/>
              <w:rtl w:val="0"/>
            </w:rPr>
            <w:t xml:space="preserve">xxxx</w:t>
          </w:r>
          <w:r w:rsidDel="00000000" w:rsidR="00000000" w:rsidRPr="00000000">
            <w:rPr>
              <w:rFonts w:ascii="Cambria" w:cs="Cambria" w:eastAsia="Cambria" w:hAnsi="Cambria"/>
              <w:color w:val="000000"/>
              <w:sz w:val="16"/>
              <w:szCs w:val="16"/>
              <w:rtl w:val="0"/>
            </w:rPr>
            <w:t xml:space="preserve">-</w:t>
          </w:r>
          <w:r w:rsidDel="00000000" w:rsidR="00000000" w:rsidRPr="00000000">
            <w:rPr>
              <w:rFonts w:ascii="Cambria" w:cs="Cambria" w:eastAsia="Cambria" w:hAnsi="Cambria"/>
              <w:sz w:val="16"/>
              <w:szCs w:val="16"/>
              <w:rtl w:val="0"/>
            </w:rPr>
            <w:t xml:space="preserve">xxxx</w:t>
          </w:r>
          <w:r w:rsidDel="00000000" w:rsidR="00000000" w:rsidRPr="00000000">
            <w:rPr>
              <w:rtl w:val="0"/>
            </w:rPr>
          </w:r>
        </w:p>
        <w:p w:rsidR="00000000" w:rsidDel="00000000" w:rsidP="00000000" w:rsidRDefault="00000000" w:rsidRPr="00000000" w14:paraId="00000070">
          <w:pPr>
            <w:spacing w:after="0" w:line="240" w:lineRule="auto"/>
            <w:ind w:left="-108" w:firstLine="0"/>
            <w:rPr>
              <w:rFonts w:ascii="Cambria" w:cs="Cambria" w:eastAsia="Cambria" w:hAnsi="Cambria"/>
              <w:color w:val="000000"/>
              <w:sz w:val="16"/>
              <w:szCs w:val="16"/>
              <w:u w:val="single"/>
            </w:rPr>
          </w:pPr>
          <w:r w:rsidDel="00000000" w:rsidR="00000000" w:rsidRPr="00000000">
            <w:rPr>
              <w:rFonts w:ascii="Cambria" w:cs="Cambria" w:eastAsia="Cambria" w:hAnsi="Cambria"/>
              <w:i w:val="1"/>
              <w:color w:val="000000"/>
              <w:sz w:val="16"/>
              <w:szCs w:val="16"/>
              <w:rtl w:val="0"/>
            </w:rPr>
            <w:t xml:space="preserve">DOI</w:t>
          </w:r>
          <w:r w:rsidDel="00000000" w:rsidR="00000000" w:rsidRPr="00000000">
            <w:rPr>
              <w:rFonts w:ascii="Cambria" w:cs="Cambria" w:eastAsia="Cambria" w:hAnsi="Cambria"/>
              <w:color w:val="000000"/>
              <w:sz w:val="16"/>
              <w:szCs w:val="16"/>
              <w:rtl w:val="0"/>
            </w:rPr>
            <w:t xml:space="preserve"> : xxxxxxxxxxxxxxxxxxxxxxxxxxxx</w:t>
          </w:r>
          <w:r w:rsidDel="00000000" w:rsidR="00000000" w:rsidRPr="00000000">
            <w:rPr>
              <w:rtl w:val="0"/>
            </w:rPr>
          </w:r>
        </w:p>
        <w:p w:rsidR="00000000" w:rsidDel="00000000" w:rsidP="00000000" w:rsidRDefault="00000000" w:rsidRPr="00000000" w14:paraId="00000071">
          <w:pPr>
            <w:spacing w:after="0" w:line="240" w:lineRule="auto"/>
            <w:ind w:left="-108" w:firstLine="0"/>
            <w:rPr>
              <w:rFonts w:ascii="Cambria" w:cs="Cambria" w:eastAsia="Cambria" w:hAnsi="Cambria"/>
              <w:color w:val="000000"/>
              <w:sz w:val="16"/>
              <w:szCs w:val="16"/>
            </w:rPr>
          </w:pPr>
          <w:hyperlink r:id="rId2">
            <w:r w:rsidDel="00000000" w:rsidR="00000000" w:rsidRPr="00000000">
              <w:rPr>
                <w:rFonts w:ascii="Cambria" w:cs="Cambria" w:eastAsia="Cambria" w:hAnsi="Cambria"/>
                <w:color w:val="0000ff"/>
                <w:sz w:val="16"/>
                <w:szCs w:val="16"/>
                <w:u w:val="single"/>
                <w:rtl w:val="0"/>
              </w:rPr>
              <w:t xml:space="preserve">https://journal.cerdasnusantara.org/index.php/cendekia</w:t>
            </w:r>
          </w:hyperlink>
          <w:r w:rsidDel="00000000" w:rsidR="00000000" w:rsidRPr="00000000">
            <w:rPr>
              <w:rFonts w:ascii="Cambria" w:cs="Cambria" w:eastAsia="Cambria" w:hAnsi="Cambria"/>
              <w:color w:val="000000"/>
              <w:sz w:val="16"/>
              <w:szCs w:val="16"/>
              <w:rtl w:val="0"/>
            </w:rPr>
            <w:t xml:space="preserve"> </w:t>
          </w:r>
        </w:p>
      </w:tc>
      <w:tc>
        <w:tcPr>
          <w:vAlign w:val="center"/>
        </w:tcPr>
        <w:p w:rsidR="00000000" w:rsidDel="00000000" w:rsidP="00000000" w:rsidRDefault="00000000" w:rsidRPr="00000000" w14:paraId="00000072">
          <w:pPr>
            <w:pBdr>
              <w:top w:space="0" w:sz="0" w:val="nil"/>
              <w:left w:space="0" w:sz="0" w:val="nil"/>
              <w:bottom w:space="0" w:sz="0" w:val="nil"/>
              <w:right w:space="0" w:sz="0" w:val="nil"/>
              <w:between w:space="0" w:sz="0" w:val="nil"/>
            </w:pBdr>
            <w:tabs>
              <w:tab w:val="center" w:leader="none" w:pos="4710"/>
              <w:tab w:val="right" w:leader="none" w:pos="9360"/>
            </w:tabs>
            <w:spacing w:after="0" w:line="240" w:lineRule="auto"/>
            <w:ind w:left="-108" w:firstLine="0"/>
            <w:jc w:val="right"/>
            <w:rPr>
              <w:rFonts w:ascii="Cambria" w:cs="Cambria" w:eastAsia="Cambria" w:hAnsi="Cambria"/>
              <w:i w:val="1"/>
              <w:color w:val="000000"/>
              <w:sz w:val="16"/>
              <w:szCs w:val="16"/>
            </w:rPr>
          </w:pPr>
          <w:r w:rsidDel="00000000" w:rsidR="00000000" w:rsidRPr="00000000">
            <w:rPr>
              <w:rFonts w:ascii="Cambria" w:cs="Cambria" w:eastAsia="Cambria" w:hAnsi="Cambria"/>
              <w:i w:val="1"/>
              <w:color w:val="000000"/>
              <w:sz w:val="16"/>
              <w:szCs w:val="16"/>
              <w:rtl w:val="0"/>
            </w:rPr>
            <w:t xml:space="preserve">Article History</w:t>
          </w:r>
        </w:p>
        <w:p w:rsidR="00000000" w:rsidDel="00000000" w:rsidP="00000000" w:rsidRDefault="00000000" w:rsidRPr="00000000" w14:paraId="00000073">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Submitted: date</w:t>
          </w: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rFonts w:ascii="Cambria" w:cs="Cambria" w:eastAsia="Cambria" w:hAnsi="Cambria"/>
              <w:color w:val="000000"/>
              <w:sz w:val="16"/>
              <w:szCs w:val="16"/>
            </w:rPr>
          </w:pPr>
          <w:r w:rsidDel="00000000" w:rsidR="00000000" w:rsidRPr="00000000">
            <w:rPr>
              <w:rFonts w:ascii="Cambria" w:cs="Cambria" w:eastAsia="Cambria" w:hAnsi="Cambria"/>
              <w:i w:val="1"/>
              <w:color w:val="000000"/>
              <w:sz w:val="16"/>
              <w:szCs w:val="16"/>
              <w:rtl w:val="0"/>
            </w:rPr>
            <w:t xml:space="preserve">Accepted: date</w:t>
          </w: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ind w:left="-108" w:firstLine="0"/>
            <w:jc w:val="right"/>
            <w:rPr/>
          </w:pPr>
          <w:r w:rsidDel="00000000" w:rsidR="00000000" w:rsidRPr="00000000">
            <w:rPr>
              <w:rFonts w:ascii="Cambria" w:cs="Cambria" w:eastAsia="Cambria" w:hAnsi="Cambria"/>
              <w:i w:val="1"/>
              <w:color w:val="000000"/>
              <w:sz w:val="16"/>
              <w:szCs w:val="16"/>
              <w:rtl w:val="0"/>
            </w:rPr>
            <w:t xml:space="preserve">Published: date</w:t>
          </w:r>
          <w:r w:rsidDel="00000000" w:rsidR="00000000" w:rsidRPr="00000000">
            <w:rPr>
              <w:rtl w:val="0"/>
            </w:rPr>
          </w:r>
        </w:p>
      </w:tc>
    </w:tr>
  </w:tbl>
  <w:p w:rsidR="00000000" w:rsidDel="00000000" w:rsidP="00000000" w:rsidRDefault="00000000" w:rsidRPr="00000000" w14:paraId="00000076">
    <w:pPr>
      <w:pBdr>
        <w:bottom w:color="000000" w:space="1" w:sz="12" w:val="single"/>
      </w:pBdr>
      <w:spacing w:after="0" w:line="240" w:lineRule="auto"/>
      <w:rPr>
        <w:rFonts w:ascii="Cambria" w:cs="Cambria" w:eastAsia="Cambria" w:hAnsi="Cambria"/>
        <w:color w:val="000000"/>
        <w:sz w:val="16"/>
        <w:szCs w:val="16"/>
        <w:u w:val="singl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5D4120"/>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Header">
    <w:name w:val="header"/>
    <w:basedOn w:val="Normal"/>
    <w:link w:val="HeaderChar"/>
    <w:uiPriority w:val="99"/>
    <w:unhideWhenUsed w:val="1"/>
    <w:rsid w:val="007D531F"/>
    <w:pPr>
      <w:tabs>
        <w:tab w:val="center" w:pos="4513"/>
        <w:tab w:val="right" w:pos="9026"/>
      </w:tabs>
      <w:spacing w:after="0" w:line="240" w:lineRule="auto"/>
    </w:pPr>
  </w:style>
  <w:style w:type="character" w:styleId="HeaderChar" w:customStyle="1">
    <w:name w:val="Header Char"/>
    <w:basedOn w:val="DefaultParagraphFont"/>
    <w:link w:val="Header"/>
    <w:uiPriority w:val="99"/>
    <w:rsid w:val="007D531F"/>
  </w:style>
  <w:style w:type="paragraph" w:styleId="Footer">
    <w:name w:val="footer"/>
    <w:basedOn w:val="Normal"/>
    <w:link w:val="FooterChar"/>
    <w:uiPriority w:val="99"/>
    <w:unhideWhenUsed w:val="1"/>
    <w:rsid w:val="007D531F"/>
    <w:pPr>
      <w:tabs>
        <w:tab w:val="center" w:pos="4513"/>
        <w:tab w:val="right" w:pos="9026"/>
      </w:tabs>
      <w:spacing w:after="0" w:line="240" w:lineRule="auto"/>
    </w:pPr>
  </w:style>
  <w:style w:type="character" w:styleId="FooterChar" w:customStyle="1">
    <w:name w:val="Footer Char"/>
    <w:basedOn w:val="DefaultParagraphFont"/>
    <w:link w:val="Footer"/>
    <w:uiPriority w:val="99"/>
    <w:rsid w:val="007D531F"/>
  </w:style>
  <w:style w:type="character" w:styleId="Hyperlink">
    <w:name w:val="Hyperlink"/>
    <w:uiPriority w:val="99"/>
    <w:unhideWhenUsed w:val="1"/>
    <w:rsid w:val="00702A37"/>
    <w:rPr>
      <w:color w:val="0000ff"/>
      <w:u w:val="single"/>
    </w:rPr>
  </w:style>
  <w:style w:type="character" w:styleId="UnresolvedMention">
    <w:name w:val="Unresolved Mention"/>
    <w:basedOn w:val="DefaultParagraphFont"/>
    <w:uiPriority w:val="99"/>
    <w:semiHidden w:val="1"/>
    <w:unhideWhenUsed w:val="1"/>
    <w:rsid w:val="00702A37"/>
    <w:rPr>
      <w:color w:val="605e5c"/>
      <w:shd w:color="auto" w:fill="e1dfdd" w:val="clear"/>
    </w:rPr>
  </w:style>
  <w:style w:type="table" w:styleId="TableGrid">
    <w:name w:val="Table Grid"/>
    <w:basedOn w:val="TableNormal"/>
    <w:uiPriority w:val="39"/>
    <w:rsid w:val="00C372AC"/>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FD301F"/>
    <w:pPr>
      <w:ind w:left="720"/>
      <w:contextualSpacing w:val="1"/>
    </w:p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pPr>
      <w:spacing w:after="0" w:line="240" w:lineRule="auto"/>
    </w:pPr>
    <w:tblPr>
      <w:tblStyleRowBandSize w:val="1"/>
      <w:tblStyleColBandSize w:val="1"/>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pPr>
      <w:spacing w:after="0" w:line="240" w:lineRule="auto"/>
    </w:pPr>
    <w:tblPr>
      <w:tblStyleRowBandSize w:val="1"/>
      <w:tblStyleColBandSize w:val="1"/>
      <w:tblCellMar>
        <w:left w:w="115.0" w:type="dxa"/>
        <w:right w:w="115.0" w:type="dxa"/>
      </w:tblCellMar>
    </w:tblPr>
  </w:style>
  <w:style w:type="table" w:styleId="a2" w:customStyle="1">
    <w:basedOn w:val="TableNormal"/>
    <w:pPr>
      <w:spacing w:after="0" w:line="240" w:lineRule="auto"/>
    </w:pPr>
    <w:tblPr>
      <w:tblStyleRowBandSize w:val="1"/>
      <w:tblStyleColBandSize w:val="1"/>
      <w:tblCellMar>
        <w:left w:w="115.0" w:type="dxa"/>
        <w:right w:w="115.0" w:type="dxa"/>
      </w:tblCellMar>
    </w:tblPr>
  </w:style>
  <w:style w:type="paragraph" w:styleId="HeaderWahana" w:customStyle="1">
    <w:name w:val="Header_Wahana"/>
    <w:basedOn w:val="Header"/>
    <w:link w:val="HeaderWahanaChar"/>
    <w:qFormat w:val="1"/>
    <w:rsid w:val="00ED244F"/>
    <w:pPr>
      <w:pBdr>
        <w:bottom w:color="auto" w:space="1" w:sz="18" w:val="single"/>
      </w:pBdr>
      <w:tabs>
        <w:tab w:val="clear" w:pos="4513"/>
        <w:tab w:val="clear" w:pos="9026"/>
        <w:tab w:val="right" w:pos="9270"/>
        <w:tab w:val="right" w:pos="9450"/>
      </w:tabs>
      <w:ind w:right="190"/>
      <w:jc w:val="both"/>
    </w:pPr>
    <w:rPr>
      <w:rFonts w:ascii="Cambria" w:cs="Times New Roman" w:eastAsia="SimSun" w:hAnsi="Cambria"/>
      <w:sz w:val="16"/>
      <w:szCs w:val="16"/>
      <w:lang w:eastAsia="tr-TR"/>
    </w:rPr>
  </w:style>
  <w:style w:type="character" w:styleId="HeaderWahanaChar" w:customStyle="1">
    <w:name w:val="Header_Wahana Char"/>
    <w:link w:val="HeaderWahana"/>
    <w:rsid w:val="00ED244F"/>
    <w:rPr>
      <w:rFonts w:ascii="Cambria" w:cs="Times New Roman" w:eastAsia="SimSun" w:hAnsi="Cambria"/>
      <w:sz w:val="16"/>
      <w:szCs w:val="16"/>
      <w:lang w:eastAsia="tr-TR"/>
    </w:rPr>
  </w:style>
  <w:style w:type="table" w:styleId="a3" w:customStyle="1">
    <w:basedOn w:val="TableNormal"/>
    <w:pPr>
      <w:spacing w:after="0" w:line="240" w:lineRule="auto"/>
    </w:pPr>
    <w:tblPr>
      <w:tblStyleRowBandSize w:val="1"/>
      <w:tblStyleColBandSize w:val="1"/>
      <w:tblCellMar>
        <w:left w:w="115.0" w:type="dxa"/>
        <w:right w:w="115.0" w:type="dxa"/>
      </w:tblCellMar>
    </w:tblPr>
  </w:style>
  <w:style w:type="table" w:styleId="a4" w:customStyle="1">
    <w:basedOn w:val="TableNormal"/>
    <w:pPr>
      <w:spacing w:after="0" w:line="240" w:lineRule="auto"/>
    </w:pPr>
    <w:tblPr>
      <w:tblStyleRowBandSize w:val="1"/>
      <w:tblStyleColBandSize w:val="1"/>
      <w:tblCellMar>
        <w:left w:w="115.0" w:type="dxa"/>
        <w:right w:w="115.0" w:type="dxa"/>
      </w:tblCellMar>
    </w:tblPr>
  </w:style>
  <w:style w:type="table" w:styleId="a5" w:customStyle="1">
    <w:basedOn w:val="TableNormal"/>
    <w:tblPr>
      <w:tblStyleRowBandSize w:val="1"/>
      <w:tblStyleColBandSize w:val="1"/>
      <w:tblCellMar>
        <w:left w:w="115.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15.0" w:type="dxa"/>
        <w:bottom w:w="0.0" w:type="dxa"/>
        <w:right w:w="115.0" w:type="dxa"/>
      </w:tblCellMar>
    </w:tblPr>
  </w:style>
  <w:style w:type="table" w:styleId="Table2">
    <w:basedOn w:val="TableNormal"/>
    <w:pPr>
      <w:spacing w:after="0" w:line="240" w:lineRule="auto"/>
    </w:p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ejournal.stitpn.ac.id/index.php/pandawa" TargetMode="External"/><Relationship Id="rId11" Type="http://schemas.openxmlformats.org/officeDocument/2006/relationships/hyperlink" Target="https://ejournal.iainkendari.ac.id/index.php/al-munzir/article/download/1118/882" TargetMode="External"/><Relationship Id="rId22" Type="http://schemas.openxmlformats.org/officeDocument/2006/relationships/footer" Target="footer1.xml"/><Relationship Id="rId10" Type="http://schemas.openxmlformats.org/officeDocument/2006/relationships/hyperlink" Target="https://ejournal.iainkendari.ac.id/index.php/al-munzir/article/download/1118/882" TargetMode="External"/><Relationship Id="rId21" Type="http://schemas.openxmlformats.org/officeDocument/2006/relationships/header" Target="header1.xml"/><Relationship Id="rId13" Type="http://schemas.openxmlformats.org/officeDocument/2006/relationships/hyperlink" Target="http://repository.unikama.ac.id/840/32/263-278" TargetMode="External"/><Relationship Id="rId12" Type="http://schemas.openxmlformats.org/officeDocument/2006/relationships/hyperlink" Target="https://ejournal.iainkendari.ac.id/index.php/al-munzir/article/download/1118/882"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ejournal.iainkendari.ac.id/al-" TargetMode="External"/><Relationship Id="rId15" Type="http://schemas.openxmlformats.org/officeDocument/2006/relationships/hyperlink" Target="http://staff.uny.ac.id/sites/default/files/penelitian/Dr" TargetMode="External"/><Relationship Id="rId14" Type="http://schemas.openxmlformats.org/officeDocument/2006/relationships/hyperlink" Target="http://staff.uny.ac.id/sites/default/files/penelitian/Dr" TargetMode="External"/><Relationship Id="rId17" Type="http://schemas.openxmlformats.org/officeDocument/2006/relationships/hyperlink" Target="https://doi.org/10.33541/sp.v1i1.459" TargetMode="External"/><Relationship Id="rId16" Type="http://schemas.openxmlformats.org/officeDocument/2006/relationships/hyperlink" Target="https://doi.org/10.21043/jupe.v10i1.1366" TargetMode="External"/><Relationship Id="rId5" Type="http://schemas.openxmlformats.org/officeDocument/2006/relationships/styles" Target="styles.xml"/><Relationship Id="rId19" Type="http://schemas.openxmlformats.org/officeDocument/2006/relationships/hyperlink" Target="https://doi.org/10.21831/jppfa.v1i1.1049" TargetMode="External"/><Relationship Id="rId6" Type="http://schemas.openxmlformats.org/officeDocument/2006/relationships/customXml" Target="../customXML/item1.xml"/><Relationship Id="rId18" Type="http://schemas.openxmlformats.org/officeDocument/2006/relationships/hyperlink" Target="https://doi.org/10.33541/sp.v1i1.459" TargetMode="External"/><Relationship Id="rId7" Type="http://schemas.openxmlformats.org/officeDocument/2006/relationships/hyperlink" Target="https://doi.org/10.31004/basicedu.v6i6.4120" TargetMode="External"/><Relationship Id="rId8" Type="http://schemas.openxmlformats.org/officeDocument/2006/relationships/hyperlink" Target="https://doi.org/10.31004/basicedu.v6i6.412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hyperlink" Target="https://journal.cerdasnusantara.org/index.php/cendeki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iOTkE8UKUYZMXo1AmvGnNKGGlg==">CgMxLjA4AHIhMU5YNmZRVlBEYkpWVnFOZktyVUdDME1nY1ZwdkRnQ3Jq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2024-07-22T13:58:00Z</dcterms:created>
  <dc:creator>yogafernando6620@outlook.co.id</dc:creator>
</cp:coreProperties>
</file>